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A751F" w14:textId="54907F3E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Anexa</w:t>
      </w:r>
      <w:r w:rsidR="00B46BC1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 nr.</w:t>
      </w:r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 </w:t>
      </w:r>
      <w:r w:rsidR="00964E42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6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2E4E558A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nivelul </w:t>
            </w:r>
            <w:r w:rsidR="00B82D8C">
              <w:rPr>
                <w:rFonts w:cstheme="minorHAnsi"/>
                <w:color w:val="002060"/>
              </w:rPr>
              <w:t>unităților sanitare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 xml:space="preserve">i cea aferentă </w:t>
            </w:r>
            <w:r w:rsidR="007222C5">
              <w:rPr>
                <w:rFonts w:cstheme="minorHAnsi"/>
                <w:color w:val="002060"/>
              </w:rPr>
              <w:t>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7001FE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Verificarea respectării </w:t>
            </w:r>
            <w:r w:rsidR="00B82D8C" w:rsidRPr="00646A0A">
              <w:rPr>
                <w:rFonts w:cstheme="minorHAnsi"/>
                <w:color w:val="002060"/>
              </w:rPr>
              <w:t>legislației</w:t>
            </w:r>
            <w:r w:rsidRPr="00646A0A">
              <w:rPr>
                <w:rFonts w:cstheme="minorHAnsi"/>
                <w:color w:val="002060"/>
              </w:rPr>
              <w:t xml:space="preserve">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610294"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53576CB2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7222C5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Pr="00646A0A">
                <w:rPr>
                  <w:rFonts w:cstheme="minorHAnsi"/>
                  <w:color w:val="002060"/>
                </w:rPr>
                <w:t xml:space="preserve"> </w:t>
              </w:r>
              <w:r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32F9FBC1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PS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Declarație unică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510CC8A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</w:t>
            </w:r>
            <w:r w:rsidR="00FE22C1">
              <w:rPr>
                <w:rFonts w:cstheme="minorHAnsi"/>
                <w:color w:val="002060"/>
              </w:rPr>
              <w:t>ul</w:t>
            </w:r>
            <w:r w:rsidRPr="00404168">
              <w:rPr>
                <w:rFonts w:cstheme="minorHAnsi"/>
                <w:color w:val="002060"/>
              </w:rPr>
              <w:t xml:space="preserve">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893AF5">
      <w:head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0330" w14:textId="77777777" w:rsidR="00C81C43" w:rsidRDefault="00C81C43" w:rsidP="00373D14">
      <w:pPr>
        <w:spacing w:after="0" w:line="240" w:lineRule="auto"/>
      </w:pPr>
      <w:r>
        <w:separator/>
      </w:r>
    </w:p>
  </w:endnote>
  <w:endnote w:type="continuationSeparator" w:id="0">
    <w:p w14:paraId="0DF3D487" w14:textId="77777777" w:rsidR="00C81C43" w:rsidRDefault="00C81C43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75614" w14:textId="77777777" w:rsidR="00C81C43" w:rsidRDefault="00C81C43" w:rsidP="00373D14">
      <w:pPr>
        <w:spacing w:after="0" w:line="240" w:lineRule="auto"/>
      </w:pPr>
      <w:r>
        <w:separator/>
      </w:r>
    </w:p>
  </w:footnote>
  <w:footnote w:type="continuationSeparator" w:id="0">
    <w:p w14:paraId="0C923DC5" w14:textId="77777777" w:rsidR="00C81C43" w:rsidRDefault="00C81C43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093B" w14:textId="25552598" w:rsidR="00884343" w:rsidRPr="007F2544" w:rsidRDefault="00373D14" w:rsidP="00884343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6" w:name="_Hlk134874451"/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7" w:name="_Hlk145417481"/>
    <w:bookmarkEnd w:id="6"/>
    <w:r w:rsidR="00964E42" w:rsidRPr="00964E42">
      <w:rPr>
        <w:rFonts w:cstheme="minorHAnsi"/>
        <w:b/>
        <w:bCs/>
        <w:i/>
        <w:iCs/>
        <w:color w:val="002060"/>
        <w:sz w:val="24"/>
        <w:szCs w:val="24"/>
      </w:rPr>
      <w:t xml:space="preserve">Investiții de tip dotare în infrastructura publică a unităților sanitare care tratează pacient critic cu patologie vasculară cerebrală acută </w:t>
    </w:r>
  </w:p>
  <w:bookmarkEnd w:id="7"/>
  <w:p w14:paraId="6D473A6E" w14:textId="2737F766" w:rsidR="00373D14" w:rsidRPr="00373D14" w:rsidRDefault="00373D14" w:rsidP="00477C8C">
    <w:pPr>
      <w:jc w:val="center"/>
      <w:rPr>
        <w:b/>
        <w:bCs/>
        <w:color w:val="00206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24274"/>
    <w:rsid w:val="000549E2"/>
    <w:rsid w:val="000734A2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281716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511D3F"/>
    <w:rsid w:val="00541702"/>
    <w:rsid w:val="00582B2E"/>
    <w:rsid w:val="005A05C1"/>
    <w:rsid w:val="005D2D04"/>
    <w:rsid w:val="005E3051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222C5"/>
    <w:rsid w:val="00736A34"/>
    <w:rsid w:val="007647AF"/>
    <w:rsid w:val="00776426"/>
    <w:rsid w:val="00777F10"/>
    <w:rsid w:val="00792A79"/>
    <w:rsid w:val="007B64BA"/>
    <w:rsid w:val="007C29B8"/>
    <w:rsid w:val="007E3A06"/>
    <w:rsid w:val="007E4A7D"/>
    <w:rsid w:val="008030D2"/>
    <w:rsid w:val="00884343"/>
    <w:rsid w:val="00893AF5"/>
    <w:rsid w:val="008A39E5"/>
    <w:rsid w:val="009145F4"/>
    <w:rsid w:val="009229EE"/>
    <w:rsid w:val="00927BCC"/>
    <w:rsid w:val="00944360"/>
    <w:rsid w:val="009461C8"/>
    <w:rsid w:val="00964E42"/>
    <w:rsid w:val="009B7AF0"/>
    <w:rsid w:val="00A06BBE"/>
    <w:rsid w:val="00A17B12"/>
    <w:rsid w:val="00A60B7B"/>
    <w:rsid w:val="00A76726"/>
    <w:rsid w:val="00A87D91"/>
    <w:rsid w:val="00AB2977"/>
    <w:rsid w:val="00AC4D07"/>
    <w:rsid w:val="00AE6001"/>
    <w:rsid w:val="00B46BC1"/>
    <w:rsid w:val="00B82D8C"/>
    <w:rsid w:val="00B93767"/>
    <w:rsid w:val="00BB2405"/>
    <w:rsid w:val="00BC13CF"/>
    <w:rsid w:val="00BE6ACE"/>
    <w:rsid w:val="00C15F7D"/>
    <w:rsid w:val="00C20AD2"/>
    <w:rsid w:val="00C436A2"/>
    <w:rsid w:val="00C81C43"/>
    <w:rsid w:val="00C83D7E"/>
    <w:rsid w:val="00CB180D"/>
    <w:rsid w:val="00CD2793"/>
    <w:rsid w:val="00CF45E8"/>
    <w:rsid w:val="00D12CEC"/>
    <w:rsid w:val="00D479A3"/>
    <w:rsid w:val="00D51C29"/>
    <w:rsid w:val="00D90F64"/>
    <w:rsid w:val="00D96060"/>
    <w:rsid w:val="00DE53E5"/>
    <w:rsid w:val="00E20E41"/>
    <w:rsid w:val="00E3275D"/>
    <w:rsid w:val="00E36E8D"/>
    <w:rsid w:val="00E439A5"/>
    <w:rsid w:val="00E70591"/>
    <w:rsid w:val="00E80C5F"/>
    <w:rsid w:val="00E910C7"/>
    <w:rsid w:val="00EE007A"/>
    <w:rsid w:val="00EE3C0E"/>
    <w:rsid w:val="00F13FB4"/>
    <w:rsid w:val="00F33310"/>
    <w:rsid w:val="00F66C8E"/>
    <w:rsid w:val="00F93D3D"/>
    <w:rsid w:val="00FC491E"/>
    <w:rsid w:val="00FC5F00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8</cp:revision>
  <dcterms:created xsi:type="dcterms:W3CDTF">2024-03-12T15:32:00Z</dcterms:created>
  <dcterms:modified xsi:type="dcterms:W3CDTF">2024-11-08T11:23:00Z</dcterms:modified>
</cp:coreProperties>
</file>