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29253" w14:textId="730DB17D" w:rsidR="008A39E5" w:rsidRPr="005B5922" w:rsidRDefault="0010629E" w:rsidP="00B172DA">
      <w:pPr>
        <w:spacing w:before="60" w:after="0" w:line="240" w:lineRule="auto"/>
        <w:jc w:val="both"/>
        <w:rPr>
          <w:rFonts w:cstheme="minorHAnsi"/>
          <w:b/>
          <w:bCs/>
          <w:color w:val="002060"/>
          <w:sz w:val="24"/>
          <w:szCs w:val="24"/>
        </w:rPr>
      </w:pPr>
      <w:r w:rsidRPr="005B5922">
        <w:rPr>
          <w:rFonts w:cstheme="minorHAnsi"/>
          <w:b/>
          <w:bCs/>
          <w:color w:val="002060"/>
          <w:sz w:val="24"/>
          <w:szCs w:val="24"/>
        </w:rPr>
        <w:t xml:space="preserve">Complementarități </w:t>
      </w:r>
      <w:r w:rsidR="005B5922" w:rsidRPr="005B5922">
        <w:rPr>
          <w:rFonts w:cstheme="minorHAnsi"/>
          <w:b/>
          <w:bCs/>
          <w:color w:val="002060"/>
          <w:sz w:val="24"/>
          <w:szCs w:val="24"/>
        </w:rPr>
        <w:t>PS</w:t>
      </w:r>
      <w:r w:rsidRPr="005B5922">
        <w:rPr>
          <w:rFonts w:cstheme="minorHAnsi"/>
          <w:b/>
          <w:bCs/>
          <w:color w:val="002060"/>
          <w:sz w:val="24"/>
          <w:szCs w:val="24"/>
        </w:rPr>
        <w:t xml:space="preserve"> - PNRR</w:t>
      </w:r>
    </w:p>
    <w:p w14:paraId="74D54E03" w14:textId="361EC925" w:rsidR="0050443F" w:rsidRPr="005B5922" w:rsidRDefault="0050443F" w:rsidP="00B172DA">
      <w:pPr>
        <w:spacing w:before="60" w:after="0" w:line="240" w:lineRule="auto"/>
        <w:jc w:val="both"/>
        <w:rPr>
          <w:rFonts w:cstheme="minorHAnsi"/>
          <w:color w:val="002060"/>
          <w:sz w:val="24"/>
          <w:szCs w:val="24"/>
        </w:rPr>
      </w:pPr>
    </w:p>
    <w:tbl>
      <w:tblPr>
        <w:tblStyle w:val="TableGrid"/>
        <w:tblW w:w="5064" w:type="pct"/>
        <w:tblLayout w:type="fixed"/>
        <w:tblLook w:val="04A0" w:firstRow="1" w:lastRow="0" w:firstColumn="1" w:lastColumn="0" w:noHBand="0" w:noVBand="1"/>
      </w:tblPr>
      <w:tblGrid>
        <w:gridCol w:w="1047"/>
        <w:gridCol w:w="1076"/>
        <w:gridCol w:w="4984"/>
        <w:gridCol w:w="2432"/>
        <w:gridCol w:w="11650"/>
      </w:tblGrid>
      <w:tr w:rsidR="005B5922" w:rsidRPr="005B5922" w14:paraId="2486FE7D" w14:textId="77777777" w:rsidTr="00327292">
        <w:trPr>
          <w:tblHeader/>
        </w:trPr>
        <w:tc>
          <w:tcPr>
            <w:tcW w:w="501" w:type="pct"/>
            <w:gridSpan w:val="2"/>
            <w:shd w:val="clear" w:color="auto" w:fill="E2EFD9" w:themeFill="accent6" w:themeFillTint="33"/>
          </w:tcPr>
          <w:p w14:paraId="29BF3FC1" w14:textId="61486FA6" w:rsidR="006A53E4" w:rsidRPr="005B5922" w:rsidRDefault="006A53E4" w:rsidP="00B172DA">
            <w:pPr>
              <w:spacing w:before="60"/>
              <w:jc w:val="both"/>
              <w:rPr>
                <w:rFonts w:cstheme="minorHAnsi"/>
                <w:b/>
                <w:bCs/>
                <w:color w:val="002060"/>
                <w:sz w:val="24"/>
                <w:szCs w:val="24"/>
              </w:rPr>
            </w:pPr>
            <w:r w:rsidRPr="005B5922">
              <w:rPr>
                <w:rFonts w:cstheme="minorHAnsi"/>
                <w:b/>
                <w:bCs/>
                <w:color w:val="002060"/>
                <w:sz w:val="24"/>
                <w:szCs w:val="24"/>
              </w:rPr>
              <w:t>Tipologie investiții / măsuri sprijinite</w:t>
            </w:r>
          </w:p>
        </w:tc>
        <w:tc>
          <w:tcPr>
            <w:tcW w:w="1176" w:type="pct"/>
            <w:vMerge w:val="restart"/>
            <w:shd w:val="clear" w:color="auto" w:fill="E2EFD9" w:themeFill="accent6" w:themeFillTint="33"/>
          </w:tcPr>
          <w:p w14:paraId="41AA3709" w14:textId="2B926417" w:rsidR="006A53E4" w:rsidRPr="005B5922" w:rsidRDefault="005B5922" w:rsidP="00B172DA">
            <w:pPr>
              <w:spacing w:before="60"/>
              <w:jc w:val="both"/>
              <w:rPr>
                <w:rFonts w:cstheme="minorHAnsi"/>
                <w:b/>
                <w:bCs/>
                <w:color w:val="002060"/>
                <w:sz w:val="24"/>
                <w:szCs w:val="24"/>
              </w:rPr>
            </w:pPr>
            <w:r w:rsidRPr="005B5922">
              <w:rPr>
                <w:rFonts w:cstheme="minorHAnsi"/>
                <w:b/>
                <w:bCs/>
                <w:color w:val="002060"/>
                <w:sz w:val="24"/>
                <w:szCs w:val="24"/>
              </w:rPr>
              <w:t>PS</w:t>
            </w:r>
            <w:r w:rsidR="006A53E4" w:rsidRPr="005B5922">
              <w:rPr>
                <w:rFonts w:cstheme="minorHAnsi"/>
                <w:b/>
                <w:bCs/>
                <w:color w:val="002060"/>
                <w:sz w:val="24"/>
                <w:szCs w:val="24"/>
              </w:rPr>
              <w:t xml:space="preserve"> – Prioritate, Fond</w:t>
            </w:r>
          </w:p>
        </w:tc>
        <w:tc>
          <w:tcPr>
            <w:tcW w:w="574" w:type="pct"/>
            <w:vMerge w:val="restart"/>
            <w:shd w:val="clear" w:color="auto" w:fill="E2EFD9" w:themeFill="accent6" w:themeFillTint="33"/>
          </w:tcPr>
          <w:p w14:paraId="7F0890FB" w14:textId="218A6674" w:rsidR="006A53E4" w:rsidRPr="005B5922" w:rsidRDefault="006A53E4" w:rsidP="00B172DA">
            <w:pPr>
              <w:spacing w:before="60"/>
              <w:ind w:right="257"/>
              <w:jc w:val="both"/>
              <w:rPr>
                <w:rFonts w:cstheme="minorHAnsi"/>
                <w:b/>
                <w:bCs/>
                <w:color w:val="002060"/>
                <w:sz w:val="24"/>
                <w:szCs w:val="24"/>
              </w:rPr>
            </w:pPr>
            <w:r w:rsidRPr="005B5922">
              <w:rPr>
                <w:rFonts w:cstheme="minorHAnsi"/>
                <w:b/>
                <w:bCs/>
                <w:color w:val="002060"/>
                <w:sz w:val="24"/>
                <w:szCs w:val="24"/>
              </w:rPr>
              <w:t>PNRR</w:t>
            </w:r>
          </w:p>
        </w:tc>
        <w:tc>
          <w:tcPr>
            <w:tcW w:w="2749" w:type="pct"/>
            <w:vMerge w:val="restart"/>
            <w:shd w:val="clear" w:color="auto" w:fill="E2EFD9" w:themeFill="accent6" w:themeFillTint="33"/>
          </w:tcPr>
          <w:p w14:paraId="28FD9D44" w14:textId="23409107" w:rsidR="006A53E4" w:rsidRPr="005B5922" w:rsidRDefault="006A53E4" w:rsidP="00B172DA">
            <w:pPr>
              <w:spacing w:before="60"/>
              <w:jc w:val="both"/>
              <w:rPr>
                <w:rFonts w:cstheme="minorHAnsi"/>
                <w:b/>
                <w:bCs/>
                <w:color w:val="002060"/>
                <w:sz w:val="24"/>
                <w:szCs w:val="24"/>
              </w:rPr>
            </w:pPr>
            <w:r w:rsidRPr="005B5922">
              <w:rPr>
                <w:rFonts w:cstheme="minorHAnsi"/>
                <w:b/>
                <w:bCs/>
                <w:color w:val="002060"/>
                <w:sz w:val="24"/>
                <w:szCs w:val="24"/>
              </w:rPr>
              <w:t>Mecanism de evitare a dublei finanțări</w:t>
            </w:r>
          </w:p>
        </w:tc>
      </w:tr>
      <w:tr w:rsidR="005B5922" w:rsidRPr="005B5922" w14:paraId="0B87681A" w14:textId="77777777" w:rsidTr="00327292">
        <w:trPr>
          <w:tblHeader/>
        </w:trPr>
        <w:tc>
          <w:tcPr>
            <w:tcW w:w="247" w:type="pct"/>
            <w:shd w:val="clear" w:color="auto" w:fill="E2EFD9" w:themeFill="accent6" w:themeFillTint="33"/>
          </w:tcPr>
          <w:p w14:paraId="1213E2AF" w14:textId="48F9CC07" w:rsidR="006A53E4" w:rsidRPr="005B5922" w:rsidRDefault="005B5922" w:rsidP="00B172DA">
            <w:pPr>
              <w:spacing w:before="60"/>
              <w:jc w:val="both"/>
              <w:rPr>
                <w:rFonts w:cstheme="minorHAnsi"/>
                <w:b/>
                <w:bCs/>
                <w:color w:val="002060"/>
                <w:sz w:val="24"/>
                <w:szCs w:val="24"/>
              </w:rPr>
            </w:pPr>
            <w:r w:rsidRPr="005B5922">
              <w:rPr>
                <w:rFonts w:cstheme="minorHAnsi"/>
                <w:b/>
                <w:bCs/>
                <w:color w:val="002060"/>
                <w:sz w:val="24"/>
                <w:szCs w:val="24"/>
              </w:rPr>
              <w:t>PS</w:t>
            </w:r>
          </w:p>
        </w:tc>
        <w:tc>
          <w:tcPr>
            <w:tcW w:w="254" w:type="pct"/>
            <w:shd w:val="clear" w:color="auto" w:fill="E2EFD9" w:themeFill="accent6" w:themeFillTint="33"/>
          </w:tcPr>
          <w:p w14:paraId="1FEC07BA" w14:textId="1ED4974F" w:rsidR="006A53E4" w:rsidRPr="005B5922" w:rsidRDefault="006A53E4" w:rsidP="00B172DA">
            <w:pPr>
              <w:spacing w:before="60"/>
              <w:jc w:val="both"/>
              <w:rPr>
                <w:rFonts w:cstheme="minorHAnsi"/>
                <w:b/>
                <w:bCs/>
                <w:color w:val="002060"/>
                <w:sz w:val="24"/>
                <w:szCs w:val="24"/>
              </w:rPr>
            </w:pPr>
            <w:r w:rsidRPr="005B5922">
              <w:rPr>
                <w:rFonts w:cstheme="minorHAnsi"/>
                <w:b/>
                <w:bCs/>
                <w:color w:val="002060"/>
                <w:sz w:val="24"/>
                <w:szCs w:val="24"/>
              </w:rPr>
              <w:t>PNRR</w:t>
            </w:r>
          </w:p>
        </w:tc>
        <w:tc>
          <w:tcPr>
            <w:tcW w:w="1176" w:type="pct"/>
            <w:vMerge/>
            <w:shd w:val="clear" w:color="auto" w:fill="E2EFD9" w:themeFill="accent6" w:themeFillTint="33"/>
          </w:tcPr>
          <w:p w14:paraId="4F647ED0" w14:textId="77777777" w:rsidR="006A53E4" w:rsidRPr="005B5922" w:rsidRDefault="006A53E4" w:rsidP="00B172DA">
            <w:pPr>
              <w:spacing w:before="60"/>
              <w:jc w:val="both"/>
              <w:rPr>
                <w:rFonts w:cstheme="minorHAnsi"/>
                <w:b/>
                <w:bCs/>
                <w:color w:val="002060"/>
                <w:sz w:val="24"/>
                <w:szCs w:val="24"/>
              </w:rPr>
            </w:pPr>
          </w:p>
        </w:tc>
        <w:tc>
          <w:tcPr>
            <w:tcW w:w="574" w:type="pct"/>
            <w:vMerge/>
            <w:shd w:val="clear" w:color="auto" w:fill="E2EFD9" w:themeFill="accent6" w:themeFillTint="33"/>
          </w:tcPr>
          <w:p w14:paraId="7FB06277" w14:textId="77777777" w:rsidR="006A53E4" w:rsidRPr="005B5922" w:rsidRDefault="006A53E4" w:rsidP="00B172DA">
            <w:pPr>
              <w:spacing w:before="60"/>
              <w:jc w:val="both"/>
              <w:rPr>
                <w:rFonts w:cstheme="minorHAnsi"/>
                <w:b/>
                <w:bCs/>
                <w:color w:val="002060"/>
                <w:sz w:val="24"/>
                <w:szCs w:val="24"/>
              </w:rPr>
            </w:pPr>
          </w:p>
        </w:tc>
        <w:tc>
          <w:tcPr>
            <w:tcW w:w="2749" w:type="pct"/>
            <w:vMerge/>
            <w:shd w:val="clear" w:color="auto" w:fill="E2EFD9" w:themeFill="accent6" w:themeFillTint="33"/>
          </w:tcPr>
          <w:p w14:paraId="3CF12E3B" w14:textId="06AEEC6A" w:rsidR="006A53E4" w:rsidRPr="005B5922" w:rsidRDefault="006A53E4" w:rsidP="00B172DA">
            <w:pPr>
              <w:spacing w:before="60"/>
              <w:jc w:val="both"/>
              <w:rPr>
                <w:rFonts w:cstheme="minorHAnsi"/>
                <w:b/>
                <w:bCs/>
                <w:color w:val="002060"/>
                <w:sz w:val="24"/>
                <w:szCs w:val="24"/>
              </w:rPr>
            </w:pPr>
          </w:p>
        </w:tc>
      </w:tr>
      <w:tr w:rsidR="005B5922" w:rsidRPr="005B5922" w14:paraId="364D7ECD" w14:textId="77777777" w:rsidTr="00327292">
        <w:tc>
          <w:tcPr>
            <w:tcW w:w="501" w:type="pct"/>
            <w:gridSpan w:val="2"/>
          </w:tcPr>
          <w:p w14:paraId="2B4CB152" w14:textId="0492B359"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Cabinete medici de familie</w:t>
            </w:r>
          </w:p>
        </w:tc>
        <w:tc>
          <w:tcPr>
            <w:tcW w:w="1176" w:type="pct"/>
          </w:tcPr>
          <w:p w14:paraId="24B488F4" w14:textId="69A1EB70" w:rsidR="00E21B69"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E21B69" w:rsidRPr="005B5922">
              <w:rPr>
                <w:rFonts w:cstheme="minorHAnsi"/>
                <w:color w:val="002060"/>
                <w:sz w:val="24"/>
                <w:szCs w:val="24"/>
              </w:rPr>
              <w:t xml:space="preserve"> Prioritatea 1 </w:t>
            </w:r>
          </w:p>
          <w:p w14:paraId="3CF6CD03" w14:textId="6A5535F8" w:rsidR="00E21B69" w:rsidRPr="00492405" w:rsidRDefault="00E21B69" w:rsidP="00B172DA">
            <w:pPr>
              <w:pStyle w:val="ListParagraph"/>
              <w:numPr>
                <w:ilvl w:val="0"/>
                <w:numId w:val="22"/>
              </w:numPr>
              <w:spacing w:before="60"/>
              <w:contextualSpacing w:val="0"/>
              <w:jc w:val="both"/>
              <w:rPr>
                <w:rFonts w:asciiTheme="minorHAnsi" w:hAnsiTheme="minorHAnsi" w:cstheme="minorHAnsi"/>
                <w:color w:val="002060"/>
                <w:sz w:val="24"/>
                <w:szCs w:val="24"/>
                <w:lang w:val="ro-RO"/>
              </w:rPr>
            </w:pPr>
            <w:r w:rsidRPr="00492405">
              <w:rPr>
                <w:rFonts w:asciiTheme="minorHAnsi" w:hAnsiTheme="minorHAnsi" w:cstheme="minorHAnsi"/>
                <w:color w:val="002060"/>
                <w:sz w:val="24"/>
                <w:szCs w:val="24"/>
                <w:lang w:val="ro-RO"/>
              </w:rPr>
              <w:t>FEDR (</w:t>
            </w:r>
            <w:r w:rsidR="009548BE" w:rsidRPr="00492405">
              <w:rPr>
                <w:rFonts w:asciiTheme="minorHAnsi" w:hAnsiTheme="minorHAnsi" w:cstheme="minorHAnsi"/>
                <w:color w:val="002060"/>
                <w:sz w:val="24"/>
                <w:szCs w:val="24"/>
                <w:lang w:val="ro-RO"/>
              </w:rPr>
              <w:t>56</w:t>
            </w:r>
            <w:r w:rsidR="009548BE" w:rsidRPr="00492405">
              <w:rPr>
                <w:rFonts w:asciiTheme="minorHAnsi" w:hAnsiTheme="minorHAnsi" w:cstheme="minorHAnsi"/>
                <w:color w:val="002060"/>
                <w:sz w:val="24"/>
                <w:szCs w:val="24"/>
                <w:lang w:val="ro-RO"/>
              </w:rPr>
              <w:t xml:space="preserve"> </w:t>
            </w:r>
            <w:r w:rsidRPr="00492405">
              <w:rPr>
                <w:rFonts w:asciiTheme="minorHAnsi" w:hAnsiTheme="minorHAnsi" w:cstheme="minorHAnsi"/>
                <w:color w:val="002060"/>
                <w:sz w:val="24"/>
                <w:szCs w:val="24"/>
                <w:lang w:val="ro-RO"/>
              </w:rPr>
              <w:t>cabinete)</w:t>
            </w:r>
            <w:r w:rsidR="00327292" w:rsidRPr="00492405">
              <w:rPr>
                <w:rFonts w:asciiTheme="minorHAnsi" w:hAnsiTheme="minorHAnsi" w:cstheme="minorHAnsi"/>
                <w:color w:val="002060"/>
                <w:sz w:val="24"/>
                <w:szCs w:val="24"/>
                <w:lang w:val="ro-RO"/>
              </w:rPr>
              <w:t xml:space="preserve"> =  </w:t>
            </w:r>
            <w:r w:rsidR="009548BE" w:rsidRPr="00152984">
              <w:rPr>
                <w:rFonts w:asciiTheme="minorHAnsi" w:hAnsiTheme="minorHAnsi" w:cstheme="minorHAnsi"/>
                <w:color w:val="002060"/>
                <w:sz w:val="24"/>
                <w:szCs w:val="24"/>
                <w:lang w:val="ro-RO"/>
              </w:rPr>
              <w:t>6.852.011,76</w:t>
            </w:r>
            <w:r w:rsidR="009548BE" w:rsidRPr="00152984">
              <w:rPr>
                <w:rFonts w:asciiTheme="minorHAnsi" w:hAnsiTheme="minorHAnsi" w:cstheme="minorHAnsi"/>
                <w:color w:val="002060"/>
                <w:sz w:val="24"/>
                <w:szCs w:val="24"/>
                <w:lang w:val="ro-RO"/>
              </w:rPr>
              <w:t xml:space="preserve"> </w:t>
            </w:r>
            <w:r w:rsidR="00327292" w:rsidRPr="00152984">
              <w:rPr>
                <w:rFonts w:asciiTheme="minorHAnsi" w:hAnsiTheme="minorHAnsi" w:cstheme="minorHAnsi"/>
                <w:color w:val="002060"/>
                <w:sz w:val="24"/>
                <w:szCs w:val="24"/>
                <w:lang w:val="ro-RO"/>
              </w:rPr>
              <w:t>mil euro</w:t>
            </w:r>
          </w:p>
          <w:p w14:paraId="6323B3CB" w14:textId="77777777" w:rsidR="00E21B69" w:rsidRPr="005B5922" w:rsidRDefault="00E21B69" w:rsidP="00B172DA">
            <w:pPr>
              <w:pStyle w:val="ListParagraph"/>
              <w:numPr>
                <w:ilvl w:val="0"/>
                <w:numId w:val="2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FSE+ Instrumente suport/ formare personal</w:t>
            </w:r>
          </w:p>
          <w:p w14:paraId="383B61DE" w14:textId="77777777" w:rsidR="00E21B69" w:rsidRPr="005B5922" w:rsidRDefault="00E21B69" w:rsidP="00B172DA">
            <w:pPr>
              <w:spacing w:before="60"/>
              <w:jc w:val="both"/>
              <w:rPr>
                <w:rFonts w:cstheme="minorHAnsi"/>
                <w:color w:val="002060"/>
                <w:sz w:val="24"/>
                <w:szCs w:val="24"/>
              </w:rPr>
            </w:pPr>
          </w:p>
        </w:tc>
        <w:tc>
          <w:tcPr>
            <w:tcW w:w="574" w:type="pct"/>
          </w:tcPr>
          <w:p w14:paraId="7F3FAF76" w14:textId="77777777"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Componenta 12 - Investiția 1.1: Cabinete ale medicilor de familie sau asocieri de cabinete de asistență medicală primară</w:t>
            </w:r>
          </w:p>
          <w:p w14:paraId="59265BA3" w14:textId="10B995D4" w:rsidR="00E21B69" w:rsidRPr="005B5922" w:rsidRDefault="00E21B69" w:rsidP="00B172DA">
            <w:pPr>
              <w:spacing w:before="60"/>
              <w:jc w:val="both"/>
              <w:rPr>
                <w:rFonts w:cstheme="minorHAnsi"/>
                <w:color w:val="002060"/>
                <w:sz w:val="24"/>
                <w:szCs w:val="24"/>
                <w:highlight w:val="cyan"/>
              </w:rPr>
            </w:pPr>
            <w:r w:rsidRPr="005B5922">
              <w:rPr>
                <w:rFonts w:cstheme="minorHAnsi"/>
                <w:color w:val="002060"/>
                <w:sz w:val="24"/>
                <w:szCs w:val="24"/>
              </w:rPr>
              <w:t>(</w:t>
            </w:r>
            <w:r w:rsidR="00C6071E">
              <w:rPr>
                <w:rFonts w:cstheme="minorHAnsi"/>
                <w:color w:val="002060"/>
                <w:sz w:val="24"/>
                <w:szCs w:val="24"/>
              </w:rPr>
              <w:t>2</w:t>
            </w:r>
            <w:r w:rsidRPr="005B5922">
              <w:rPr>
                <w:rFonts w:cstheme="minorHAnsi"/>
                <w:color w:val="002060"/>
                <w:sz w:val="24"/>
                <w:szCs w:val="24"/>
              </w:rPr>
              <w:t>000 cabinete)</w:t>
            </w:r>
          </w:p>
        </w:tc>
        <w:tc>
          <w:tcPr>
            <w:tcW w:w="2749" w:type="pct"/>
          </w:tcPr>
          <w:p w14:paraId="12044B94" w14:textId="2DBE2E0F"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 xml:space="preserve">Deoarece atât </w:t>
            </w:r>
            <w:r w:rsidR="005B5922" w:rsidRPr="005B5922">
              <w:rPr>
                <w:rFonts w:cstheme="minorHAnsi"/>
                <w:color w:val="002060"/>
                <w:sz w:val="24"/>
                <w:szCs w:val="24"/>
              </w:rPr>
              <w:t>PS</w:t>
            </w:r>
            <w:r w:rsidRPr="005B5922">
              <w:rPr>
                <w:rFonts w:cstheme="minorHAnsi"/>
                <w:color w:val="002060"/>
                <w:sz w:val="24"/>
                <w:szCs w:val="24"/>
              </w:rPr>
              <w:t xml:space="preserve">, cât și PNRR vor susține investiții în infrastructură/ dotări pentru cabinetele medicilor de familie, în vederea evitării dublei finanțări </w:t>
            </w:r>
            <w:r w:rsidRPr="005B5922">
              <w:rPr>
                <w:rFonts w:cstheme="minorHAnsi"/>
                <w:color w:val="002060"/>
                <w:sz w:val="24"/>
                <w:szCs w:val="24"/>
                <w:u w:val="single"/>
              </w:rPr>
              <w:t xml:space="preserve">cabinetele medicilor de familie susținute din PNRR vor fi excluse de la finanțarea din </w:t>
            </w:r>
            <w:r w:rsidR="005B5922" w:rsidRPr="005B5922">
              <w:rPr>
                <w:rFonts w:cstheme="minorHAnsi"/>
                <w:color w:val="002060"/>
                <w:sz w:val="24"/>
                <w:szCs w:val="24"/>
                <w:u w:val="single"/>
              </w:rPr>
              <w:t>PS</w:t>
            </w:r>
            <w:r w:rsidRPr="005B5922">
              <w:rPr>
                <w:rFonts w:cstheme="minorHAnsi"/>
                <w:color w:val="002060"/>
                <w:sz w:val="24"/>
                <w:szCs w:val="24"/>
              </w:rPr>
              <w:t xml:space="preserve"> (ghidurile solicitantului </w:t>
            </w:r>
            <w:r w:rsidR="005B5922" w:rsidRPr="005B5922">
              <w:rPr>
                <w:rFonts w:cstheme="minorHAnsi"/>
                <w:color w:val="002060"/>
                <w:sz w:val="24"/>
                <w:szCs w:val="24"/>
              </w:rPr>
              <w:t>PS</w:t>
            </w:r>
            <w:r w:rsidRPr="005B5922">
              <w:rPr>
                <w:rFonts w:cstheme="minorHAnsi"/>
                <w:color w:val="002060"/>
                <w:sz w:val="24"/>
                <w:szCs w:val="24"/>
              </w:rPr>
              <w:t xml:space="preserve"> vor specifica acest lucru).</w:t>
            </w:r>
          </w:p>
          <w:p w14:paraId="49D41BD2" w14:textId="77777777" w:rsidR="00E21B69" w:rsidRPr="005B5922" w:rsidRDefault="00E21B69" w:rsidP="00B172DA">
            <w:pPr>
              <w:spacing w:before="60"/>
              <w:jc w:val="both"/>
              <w:rPr>
                <w:rFonts w:cstheme="minorHAnsi"/>
                <w:color w:val="002060"/>
                <w:sz w:val="24"/>
                <w:szCs w:val="24"/>
              </w:rPr>
            </w:pPr>
          </w:p>
          <w:p w14:paraId="2416E08E" w14:textId="77777777" w:rsidR="00E21B69" w:rsidRDefault="00E21B69" w:rsidP="00B172DA">
            <w:pPr>
              <w:spacing w:before="60"/>
              <w:jc w:val="both"/>
              <w:rPr>
                <w:rFonts w:cstheme="minorHAnsi"/>
                <w:color w:val="002060"/>
                <w:sz w:val="24"/>
                <w:szCs w:val="24"/>
              </w:rPr>
            </w:pPr>
            <w:r w:rsidRPr="005B5922">
              <w:rPr>
                <w:rFonts w:cstheme="minorHAnsi"/>
                <w:color w:val="002060"/>
                <w:sz w:val="24"/>
                <w:szCs w:val="24"/>
              </w:rPr>
              <w:t xml:space="preserve">Intervențiile de infrastructură/ dotare pentru cabinetele medicilor de familie atât din </w:t>
            </w:r>
            <w:r w:rsidR="005B5922" w:rsidRPr="005B5922">
              <w:rPr>
                <w:rFonts w:cstheme="minorHAnsi"/>
                <w:color w:val="002060"/>
                <w:sz w:val="24"/>
                <w:szCs w:val="24"/>
              </w:rPr>
              <w:t>PS</w:t>
            </w:r>
            <w:r w:rsidRPr="005B5922">
              <w:rPr>
                <w:rFonts w:cstheme="minorHAnsi"/>
                <w:color w:val="002060"/>
                <w:sz w:val="24"/>
                <w:szCs w:val="24"/>
              </w:rPr>
              <w:t xml:space="preserve">, cât și din PNRR sunt complementare investițiilor de tip FSE+ din </w:t>
            </w:r>
            <w:r w:rsidR="005B5922" w:rsidRPr="005B5922">
              <w:rPr>
                <w:rFonts w:cstheme="minorHAnsi"/>
                <w:color w:val="002060"/>
                <w:sz w:val="24"/>
                <w:szCs w:val="24"/>
              </w:rPr>
              <w:t>PS</w:t>
            </w:r>
            <w:r w:rsidRPr="005B5922">
              <w:rPr>
                <w:rFonts w:cstheme="minorHAnsi"/>
                <w:color w:val="002060"/>
                <w:sz w:val="24"/>
                <w:szCs w:val="24"/>
              </w:rPr>
              <w:t xml:space="preserve"> Prioritatea 1 care constau în dezvoltarea de </w:t>
            </w:r>
            <w:r w:rsidRPr="005B5922">
              <w:rPr>
                <w:rFonts w:cstheme="minorHAnsi"/>
                <w:b/>
                <w:bCs/>
                <w:color w:val="002060"/>
                <w:sz w:val="24"/>
                <w:szCs w:val="24"/>
              </w:rPr>
              <w:t>instrumente de lucru</w:t>
            </w:r>
            <w:r w:rsidRPr="005B5922">
              <w:rPr>
                <w:rFonts w:cstheme="minorHAnsi"/>
                <w:color w:val="002060"/>
                <w:sz w:val="24"/>
                <w:szCs w:val="24"/>
              </w:rPr>
              <w:t xml:space="preserve"> </w:t>
            </w:r>
            <w:r w:rsidRPr="005B5922">
              <w:rPr>
                <w:rFonts w:cstheme="minorHAnsi"/>
                <w:i/>
                <w:iCs/>
                <w:color w:val="002060"/>
                <w:sz w:val="24"/>
                <w:szCs w:val="24"/>
              </w:rPr>
              <w:t xml:space="preserve">(ex. ghiduri/ proceduri/ protocoale de lucru/ metodologii/ standarde de calitate/ traseu al pacienților/ sistem de trimitere pentru boli prioritare cu impact asupra stării de sănătate, inclusiv asigurarea legăturii cu celelalte nivele - asistență oferită în regim ambulatoriu sau spitalizare  continuă, îmbunătățirea mecanismului previzibil de finanțare pe niveluri de servicii etc) și </w:t>
            </w:r>
            <w:r w:rsidRPr="005B5922">
              <w:rPr>
                <w:rFonts w:cstheme="minorHAnsi"/>
                <w:b/>
                <w:bCs/>
                <w:color w:val="002060"/>
                <w:sz w:val="24"/>
                <w:szCs w:val="24"/>
              </w:rPr>
              <w:t>formarea personalului</w:t>
            </w:r>
            <w:r w:rsidRPr="005B5922">
              <w:rPr>
                <w:rFonts w:cstheme="minorHAnsi"/>
                <w:color w:val="002060"/>
                <w:sz w:val="24"/>
                <w:szCs w:val="24"/>
              </w:rPr>
              <w:t xml:space="preserve"> menite să contribuie la îmbunătățirea accesibilității, a eficacității asistenței medicale primare și integrarea cu serviciile de oferite în ambulatoriu și asigurarea continuității serviciilor medicale.</w:t>
            </w:r>
          </w:p>
          <w:p w14:paraId="57AB3566" w14:textId="759D7FDF" w:rsidR="000B114F" w:rsidRDefault="000B114F" w:rsidP="00B172DA">
            <w:pPr>
              <w:spacing w:before="60"/>
              <w:jc w:val="both"/>
              <w:rPr>
                <w:rFonts w:cstheme="minorHAnsi"/>
                <w:color w:val="002060"/>
                <w:sz w:val="24"/>
                <w:szCs w:val="24"/>
              </w:rPr>
            </w:pPr>
            <w:r>
              <w:rPr>
                <w:rFonts w:cstheme="minorHAnsi"/>
                <w:color w:val="002060"/>
                <w:sz w:val="24"/>
                <w:szCs w:val="24"/>
              </w:rPr>
              <w:t>Prin PS se vor susține</w:t>
            </w:r>
            <w:r w:rsidR="0062783F">
              <w:rPr>
                <w:rFonts w:cstheme="minorHAnsi"/>
                <w:color w:val="002060"/>
                <w:sz w:val="24"/>
                <w:szCs w:val="24"/>
              </w:rPr>
              <w:t xml:space="preserve"> 56 </w:t>
            </w:r>
            <w:r>
              <w:rPr>
                <w:rFonts w:cstheme="minorHAnsi"/>
                <w:color w:val="002060"/>
                <w:sz w:val="24"/>
                <w:szCs w:val="24"/>
              </w:rPr>
              <w:t xml:space="preserve"> cabinetele medicale </w:t>
            </w:r>
            <w:r w:rsidR="0062783F">
              <w:rPr>
                <w:rFonts w:cstheme="minorHAnsi"/>
                <w:color w:val="002060"/>
                <w:sz w:val="24"/>
                <w:szCs w:val="24"/>
              </w:rPr>
              <w:t xml:space="preserve">ale medicilor de familie </w:t>
            </w:r>
            <w:r>
              <w:rPr>
                <w:rFonts w:cstheme="minorHAnsi"/>
                <w:color w:val="002060"/>
                <w:sz w:val="24"/>
                <w:szCs w:val="24"/>
              </w:rPr>
              <w:t xml:space="preserve">din zonele ITI, </w:t>
            </w:r>
            <w:r w:rsidR="0062783F">
              <w:rPr>
                <w:rFonts w:cstheme="minorHAnsi"/>
                <w:color w:val="002060"/>
                <w:sz w:val="24"/>
                <w:szCs w:val="24"/>
              </w:rPr>
              <w:t>iar prin PNRR se vor susține restul cabinetelor pentru medicii de familie,</w:t>
            </w:r>
            <w:r w:rsidR="00102981">
              <w:rPr>
                <w:rFonts w:cstheme="minorHAnsi"/>
                <w:color w:val="002060"/>
                <w:sz w:val="24"/>
                <w:szCs w:val="24"/>
              </w:rPr>
              <w:t xml:space="preserve"> </w:t>
            </w:r>
            <w:r w:rsidR="0062783F">
              <w:rPr>
                <w:rFonts w:cstheme="minorHAnsi"/>
                <w:color w:val="002060"/>
                <w:sz w:val="24"/>
                <w:szCs w:val="24"/>
              </w:rPr>
              <w:t xml:space="preserve">iar  pentru </w:t>
            </w:r>
            <w:r w:rsidR="0062783F" w:rsidRPr="0062783F">
              <w:rPr>
                <w:rFonts w:cstheme="minorHAnsi"/>
                <w:color w:val="002060"/>
                <w:sz w:val="24"/>
                <w:szCs w:val="24"/>
              </w:rPr>
              <w:t>evit</w:t>
            </w:r>
            <w:r w:rsidR="0062783F">
              <w:rPr>
                <w:rFonts w:cstheme="minorHAnsi"/>
                <w:color w:val="002060"/>
                <w:sz w:val="24"/>
                <w:szCs w:val="24"/>
              </w:rPr>
              <w:t>area</w:t>
            </w:r>
            <w:r w:rsidR="0062783F" w:rsidRPr="0062783F">
              <w:rPr>
                <w:rFonts w:cstheme="minorHAnsi"/>
                <w:color w:val="002060"/>
                <w:sz w:val="24"/>
                <w:szCs w:val="24"/>
              </w:rPr>
              <w:t xml:space="preserve"> dublei finanțări cabinetele medicilor de familie susținute din PNRR vor fi excluse de la finanțarea din PS (ghidurile solicitantului PS vor specifica acest lucru).</w:t>
            </w:r>
            <w:r>
              <w:rPr>
                <w:rFonts w:cstheme="minorHAnsi"/>
                <w:color w:val="002060"/>
                <w:sz w:val="24"/>
                <w:szCs w:val="24"/>
              </w:rPr>
              <w:t xml:space="preserve"> </w:t>
            </w:r>
            <w:r w:rsidR="00102981">
              <w:rPr>
                <w:rFonts w:cstheme="minorHAnsi"/>
                <w:color w:val="002060"/>
                <w:sz w:val="24"/>
                <w:szCs w:val="24"/>
              </w:rPr>
              <w:t>Până în prezent nu a existat un interes mare din partea acestora, nefiind depuse proiecte care să acopere ținta prevăzută în PNRR</w:t>
            </w:r>
            <w:r w:rsidR="00105728">
              <w:rPr>
                <w:rFonts w:cstheme="minorHAnsi"/>
                <w:color w:val="002060"/>
                <w:sz w:val="24"/>
                <w:szCs w:val="24"/>
              </w:rPr>
              <w:t>. D</w:t>
            </w:r>
            <w:r w:rsidR="00102981">
              <w:rPr>
                <w:rFonts w:cstheme="minorHAnsi"/>
                <w:color w:val="002060"/>
                <w:sz w:val="24"/>
                <w:szCs w:val="24"/>
              </w:rPr>
              <w:t>iferența de fonduri prevăzute inițial pentru această măsură a fost realocată către priorit</w:t>
            </w:r>
            <w:r w:rsidR="00105728">
              <w:rPr>
                <w:rFonts w:cstheme="minorHAnsi"/>
                <w:color w:val="002060"/>
                <w:sz w:val="24"/>
                <w:szCs w:val="24"/>
              </w:rPr>
              <w:t>ățile</w:t>
            </w:r>
            <w:r w:rsidR="00102981">
              <w:rPr>
                <w:rFonts w:cstheme="minorHAnsi"/>
                <w:color w:val="002060"/>
                <w:sz w:val="24"/>
                <w:szCs w:val="24"/>
              </w:rPr>
              <w:t xml:space="preserve"> nou creat</w:t>
            </w:r>
            <w:r w:rsidR="00105728">
              <w:rPr>
                <w:rFonts w:cstheme="minorHAnsi"/>
                <w:color w:val="002060"/>
                <w:sz w:val="24"/>
                <w:szCs w:val="24"/>
              </w:rPr>
              <w:t>e</w:t>
            </w:r>
            <w:r w:rsidR="00102981">
              <w:rPr>
                <w:rFonts w:cstheme="minorHAnsi"/>
                <w:color w:val="002060"/>
                <w:sz w:val="24"/>
                <w:szCs w:val="24"/>
              </w:rPr>
              <w:t xml:space="preserve"> STEP – </w:t>
            </w:r>
            <w:r w:rsidR="00C959EC" w:rsidRPr="00C959EC">
              <w:rPr>
                <w:rFonts w:cstheme="minorHAnsi"/>
                <w:color w:val="002060"/>
                <w:sz w:val="24"/>
                <w:szCs w:val="24"/>
              </w:rPr>
              <w:t>P8 FSE+/P9 FEDR</w:t>
            </w:r>
            <w:r w:rsidR="00102981">
              <w:rPr>
                <w:rFonts w:cstheme="minorHAnsi"/>
                <w:color w:val="002060"/>
                <w:sz w:val="24"/>
                <w:szCs w:val="24"/>
              </w:rPr>
              <w:t>.</w:t>
            </w:r>
            <w:r w:rsidR="005C640B">
              <w:rPr>
                <w:rFonts w:cstheme="minorHAnsi"/>
                <w:color w:val="002060"/>
                <w:sz w:val="24"/>
                <w:szCs w:val="24"/>
              </w:rPr>
              <w:t xml:space="preserve"> </w:t>
            </w:r>
            <w:r w:rsidR="00105728">
              <w:rPr>
                <w:rFonts w:cstheme="minorHAnsi"/>
                <w:color w:val="002060"/>
                <w:sz w:val="24"/>
                <w:szCs w:val="24"/>
              </w:rPr>
              <w:t xml:space="preserve"> </w:t>
            </w:r>
            <w:r w:rsidR="005C640B">
              <w:rPr>
                <w:rFonts w:cstheme="minorHAnsi"/>
                <w:color w:val="002060"/>
                <w:sz w:val="24"/>
                <w:szCs w:val="24"/>
              </w:rPr>
              <w:t>Modificările au fost făcute în contextul STEP</w:t>
            </w:r>
          </w:p>
          <w:p w14:paraId="2F965BD3" w14:textId="57823CBA" w:rsidR="009548BE" w:rsidRPr="005B5922" w:rsidRDefault="009548BE" w:rsidP="00B172DA">
            <w:pPr>
              <w:spacing w:before="60"/>
              <w:jc w:val="both"/>
              <w:rPr>
                <w:rFonts w:cstheme="minorHAnsi"/>
                <w:color w:val="002060"/>
                <w:sz w:val="24"/>
                <w:szCs w:val="24"/>
              </w:rPr>
            </w:pPr>
          </w:p>
        </w:tc>
      </w:tr>
      <w:tr w:rsidR="005B5922" w:rsidRPr="005B5922" w14:paraId="487FC9AC" w14:textId="77777777" w:rsidTr="00327292">
        <w:tc>
          <w:tcPr>
            <w:tcW w:w="501" w:type="pct"/>
            <w:gridSpan w:val="2"/>
          </w:tcPr>
          <w:p w14:paraId="7EB77CE9" w14:textId="0AF71B74"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Asistența medicală comunitară</w:t>
            </w:r>
          </w:p>
        </w:tc>
        <w:tc>
          <w:tcPr>
            <w:tcW w:w="1176" w:type="pct"/>
          </w:tcPr>
          <w:p w14:paraId="464F94D7" w14:textId="62044EF9" w:rsidR="00E21B69"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E21B69" w:rsidRPr="005B5922">
              <w:rPr>
                <w:rFonts w:cstheme="minorHAnsi"/>
                <w:color w:val="002060"/>
                <w:sz w:val="24"/>
                <w:szCs w:val="24"/>
              </w:rPr>
              <w:t xml:space="preserve"> Prioritatea 1 </w:t>
            </w:r>
            <w:r w:rsidR="003D7476" w:rsidRPr="005B5922">
              <w:rPr>
                <w:rFonts w:cstheme="minorHAnsi"/>
                <w:color w:val="002060"/>
                <w:sz w:val="24"/>
                <w:szCs w:val="24"/>
              </w:rPr>
              <w:t xml:space="preserve"> FSE+</w:t>
            </w:r>
            <w:r w:rsidR="00327292" w:rsidRPr="005B5922">
              <w:rPr>
                <w:rFonts w:cstheme="minorHAnsi"/>
                <w:color w:val="002060"/>
                <w:sz w:val="24"/>
                <w:szCs w:val="24"/>
              </w:rPr>
              <w:t xml:space="preserve"> = </w:t>
            </w:r>
            <w:proofErr w:type="spellStart"/>
            <w:r w:rsidR="00327292" w:rsidRPr="00152984">
              <w:rPr>
                <w:rFonts w:cstheme="minorHAnsi"/>
                <w:color w:val="002060"/>
                <w:sz w:val="24"/>
                <w:szCs w:val="24"/>
              </w:rPr>
              <w:t>functionare</w:t>
            </w:r>
            <w:proofErr w:type="spellEnd"/>
            <w:r w:rsidR="00327292" w:rsidRPr="00152984">
              <w:rPr>
                <w:rFonts w:cstheme="minorHAnsi"/>
                <w:color w:val="002060"/>
                <w:sz w:val="24"/>
                <w:szCs w:val="24"/>
              </w:rPr>
              <w:t xml:space="preserve"> CCI </w:t>
            </w:r>
            <w:r w:rsidR="00492405" w:rsidRPr="00152984">
              <w:rPr>
                <w:rFonts w:cstheme="minorHAnsi"/>
                <w:color w:val="002060"/>
                <w:sz w:val="24"/>
                <w:szCs w:val="24"/>
              </w:rPr>
              <w:t>7.520.319</w:t>
            </w:r>
            <w:r w:rsidR="00492405" w:rsidRPr="00152984">
              <w:rPr>
                <w:rFonts w:cstheme="minorHAnsi"/>
                <w:color w:val="002060"/>
                <w:sz w:val="24"/>
                <w:szCs w:val="24"/>
              </w:rPr>
              <w:t xml:space="preserve"> </w:t>
            </w:r>
            <w:r w:rsidR="00327292" w:rsidRPr="00152984">
              <w:rPr>
                <w:rFonts w:cstheme="minorHAnsi"/>
                <w:color w:val="002060"/>
                <w:sz w:val="24"/>
                <w:szCs w:val="24"/>
              </w:rPr>
              <w:t>mil euro</w:t>
            </w:r>
          </w:p>
          <w:p w14:paraId="603FEBAC" w14:textId="7E131B56" w:rsidR="00E21B69" w:rsidRPr="005B5922" w:rsidRDefault="00E21B69" w:rsidP="00B172DA">
            <w:pPr>
              <w:spacing w:before="60"/>
              <w:jc w:val="both"/>
              <w:rPr>
                <w:rFonts w:cstheme="minorHAnsi"/>
                <w:color w:val="002060"/>
                <w:sz w:val="24"/>
                <w:szCs w:val="24"/>
              </w:rPr>
            </w:pPr>
          </w:p>
        </w:tc>
        <w:tc>
          <w:tcPr>
            <w:tcW w:w="574" w:type="pct"/>
          </w:tcPr>
          <w:p w14:paraId="40A26E9D" w14:textId="77777777"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Componenta 12 Investiția 1.4: Centre comunitare integrate</w:t>
            </w:r>
          </w:p>
          <w:p w14:paraId="327A480A" w14:textId="0D680A0C"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 xml:space="preserve">200 de centre comunitare integrate vor fi construite/reabilitate/modernizate/extinse infrastructura existentă și/sau dotare </w:t>
            </w:r>
          </w:p>
          <w:p w14:paraId="0F410BEA" w14:textId="182A7AA8"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40,20 mil. euro</w:t>
            </w:r>
          </w:p>
        </w:tc>
        <w:tc>
          <w:tcPr>
            <w:tcW w:w="2749" w:type="pct"/>
          </w:tcPr>
          <w:p w14:paraId="74AD551C" w14:textId="77777777" w:rsidR="00E21B69" w:rsidRPr="005B5922" w:rsidRDefault="00E21B69" w:rsidP="00B172DA">
            <w:pPr>
              <w:spacing w:before="60"/>
              <w:jc w:val="both"/>
              <w:rPr>
                <w:rFonts w:cstheme="minorHAnsi"/>
                <w:color w:val="002060"/>
                <w:sz w:val="24"/>
                <w:szCs w:val="24"/>
              </w:rPr>
            </w:pPr>
            <w:r w:rsidRPr="005B5922">
              <w:rPr>
                <w:rFonts w:cstheme="minorHAnsi"/>
                <w:color w:val="002060"/>
                <w:sz w:val="24"/>
                <w:szCs w:val="24"/>
              </w:rPr>
              <w:t>PNRR va susține investiții în infrastructură/ dotări pentru centrele comunitare integrate.</w:t>
            </w:r>
          </w:p>
          <w:p w14:paraId="3AE93BAF" w14:textId="77777777" w:rsidR="00E21B69" w:rsidRDefault="00E21B69" w:rsidP="00B172DA">
            <w:pPr>
              <w:spacing w:before="60"/>
              <w:jc w:val="both"/>
              <w:rPr>
                <w:rFonts w:cstheme="minorHAnsi"/>
                <w:i/>
                <w:iCs/>
                <w:color w:val="002060"/>
                <w:sz w:val="24"/>
                <w:szCs w:val="24"/>
              </w:rPr>
            </w:pPr>
            <w:r w:rsidRPr="005B5922">
              <w:rPr>
                <w:rFonts w:cstheme="minorHAnsi"/>
                <w:color w:val="002060"/>
                <w:sz w:val="24"/>
                <w:szCs w:val="24"/>
              </w:rPr>
              <w:t>Intervențiile de infrastructură/ dotare din PNRR în centrele comunitare integrate vor avea</w:t>
            </w:r>
            <w:r w:rsidR="000C2085" w:rsidRPr="005B5922">
              <w:rPr>
                <w:rFonts w:cstheme="minorHAnsi"/>
                <w:color w:val="002060"/>
                <w:sz w:val="24"/>
                <w:szCs w:val="24"/>
              </w:rPr>
              <w:t xml:space="preserve"> prin </w:t>
            </w:r>
            <w:r w:rsidR="005B5922" w:rsidRPr="005B5922">
              <w:rPr>
                <w:rFonts w:cstheme="minorHAnsi"/>
                <w:color w:val="002060"/>
                <w:sz w:val="24"/>
                <w:szCs w:val="24"/>
              </w:rPr>
              <w:t>PS</w:t>
            </w:r>
            <w:r w:rsidRPr="005B5922">
              <w:rPr>
                <w:rFonts w:cstheme="minorHAnsi"/>
                <w:color w:val="002060"/>
                <w:sz w:val="24"/>
                <w:szCs w:val="24"/>
              </w:rPr>
              <w:t xml:space="preserve"> m</w:t>
            </w:r>
            <w:r w:rsidR="000C2085" w:rsidRPr="005B5922">
              <w:rPr>
                <w:rFonts w:cstheme="minorHAnsi"/>
                <w:color w:val="002060"/>
                <w:sz w:val="24"/>
                <w:szCs w:val="24"/>
              </w:rPr>
              <w:t>ăsuri</w:t>
            </w:r>
            <w:r w:rsidRPr="005B5922">
              <w:rPr>
                <w:rFonts w:cstheme="minorHAnsi"/>
                <w:color w:val="002060"/>
                <w:sz w:val="24"/>
                <w:szCs w:val="24"/>
              </w:rPr>
              <w:t xml:space="preserve"> complementare de tip FSE+ </w:t>
            </w:r>
            <w:r w:rsidR="000C2085" w:rsidRPr="005B5922">
              <w:rPr>
                <w:rFonts w:cstheme="minorHAnsi"/>
                <w:color w:val="002060"/>
                <w:sz w:val="24"/>
                <w:szCs w:val="24"/>
              </w:rPr>
              <w:t>în cadrul</w:t>
            </w:r>
            <w:r w:rsidRPr="005B5922">
              <w:rPr>
                <w:rFonts w:cstheme="minorHAnsi"/>
                <w:color w:val="002060"/>
                <w:sz w:val="24"/>
                <w:szCs w:val="24"/>
              </w:rPr>
              <w:t xml:space="preserve"> Priorit</w:t>
            </w:r>
            <w:r w:rsidR="000C2085" w:rsidRPr="005B5922">
              <w:rPr>
                <w:rFonts w:cstheme="minorHAnsi"/>
                <w:color w:val="002060"/>
                <w:sz w:val="24"/>
                <w:szCs w:val="24"/>
              </w:rPr>
              <w:t>ății</w:t>
            </w:r>
            <w:r w:rsidRPr="005B5922">
              <w:rPr>
                <w:rFonts w:cstheme="minorHAnsi"/>
                <w:color w:val="002060"/>
                <w:sz w:val="24"/>
                <w:szCs w:val="24"/>
              </w:rPr>
              <w:t xml:space="preserve"> 1 care constau în  creșterea capacitării de furnizare de servicii preventive în asistența medicală primară și comunitară prin finanțarea costurilor operaționale ale serviciilor </w:t>
            </w:r>
            <w:r w:rsidRPr="005B5922">
              <w:rPr>
                <w:rFonts w:cstheme="minorHAnsi"/>
                <w:i/>
                <w:iCs/>
                <w:color w:val="002060"/>
                <w:sz w:val="24"/>
                <w:szCs w:val="24"/>
              </w:rPr>
              <w:t>(ex. salarii, costurile operaționale ale structurilor care furnizează serviciile etc</w:t>
            </w:r>
            <w:r w:rsidRPr="005B5922">
              <w:rPr>
                <w:rFonts w:cstheme="minorHAnsi"/>
                <w:color w:val="002060"/>
                <w:sz w:val="24"/>
                <w:szCs w:val="24"/>
              </w:rPr>
              <w:t>) din centrele comunitare integrate din PNRR</w:t>
            </w:r>
          </w:p>
          <w:p w14:paraId="3B16F675" w14:textId="77777777" w:rsidR="00492405" w:rsidRDefault="00492405" w:rsidP="00492405">
            <w:pPr>
              <w:rPr>
                <w:rFonts w:cstheme="minorHAnsi"/>
                <w:i/>
                <w:iCs/>
                <w:color w:val="002060"/>
                <w:sz w:val="24"/>
                <w:szCs w:val="24"/>
              </w:rPr>
            </w:pPr>
          </w:p>
          <w:p w14:paraId="4D72CF19" w14:textId="4665B734" w:rsidR="005C640B" w:rsidRPr="00152984" w:rsidRDefault="00492405" w:rsidP="00152984">
            <w:pPr>
              <w:rPr>
                <w:rFonts w:cstheme="minorHAnsi"/>
                <w:sz w:val="24"/>
                <w:szCs w:val="24"/>
              </w:rPr>
            </w:pPr>
            <w:r w:rsidRPr="00A7602E">
              <w:rPr>
                <w:rFonts w:cstheme="minorHAnsi"/>
                <w:color w:val="002060"/>
                <w:sz w:val="24"/>
                <w:szCs w:val="24"/>
              </w:rPr>
              <w:t xml:space="preserve">În contextul STEP, a fost ajustată </w:t>
            </w:r>
            <w:r w:rsidR="005C640B" w:rsidRPr="00A7602E">
              <w:rPr>
                <w:rFonts w:cstheme="minorHAnsi"/>
                <w:color w:val="002060"/>
                <w:sz w:val="24"/>
                <w:szCs w:val="24"/>
              </w:rPr>
              <w:t>alocarea acestei măsuri cu valoarea aferentă cuantumului de flexibilitate care a fost realocată la prioritatea STEP nou creată în PS – P</w:t>
            </w:r>
            <w:r w:rsidR="00C959EC" w:rsidRPr="00A7602E">
              <w:rPr>
                <w:rFonts w:cstheme="minorHAnsi"/>
                <w:color w:val="002060"/>
                <w:sz w:val="24"/>
                <w:szCs w:val="24"/>
              </w:rPr>
              <w:t>8 FSE+</w:t>
            </w:r>
            <w:r w:rsidR="005C640B" w:rsidRPr="00A7602E">
              <w:rPr>
                <w:rFonts w:cstheme="minorHAnsi"/>
                <w:color w:val="002060"/>
                <w:sz w:val="24"/>
                <w:szCs w:val="24"/>
              </w:rPr>
              <w:t>, având în vedere faptul că intervenții similare sunt susținute din PNRR.</w:t>
            </w:r>
          </w:p>
        </w:tc>
      </w:tr>
      <w:tr w:rsidR="005B5922" w:rsidRPr="005B5922" w14:paraId="7E239D7A" w14:textId="77777777" w:rsidTr="00327292">
        <w:tc>
          <w:tcPr>
            <w:tcW w:w="501" w:type="pct"/>
            <w:gridSpan w:val="2"/>
          </w:tcPr>
          <w:p w14:paraId="4879D0E4" w14:textId="5E41EE9A" w:rsidR="0028511E" w:rsidRPr="005B5922" w:rsidRDefault="00457BE9" w:rsidP="00B172DA">
            <w:pPr>
              <w:spacing w:before="60"/>
              <w:jc w:val="both"/>
              <w:rPr>
                <w:rFonts w:cstheme="minorHAnsi"/>
                <w:color w:val="002060"/>
                <w:sz w:val="24"/>
                <w:szCs w:val="24"/>
              </w:rPr>
            </w:pPr>
            <w:r w:rsidRPr="005B5922">
              <w:rPr>
                <w:rFonts w:cstheme="minorHAnsi"/>
                <w:color w:val="002060"/>
                <w:sz w:val="24"/>
                <w:szCs w:val="24"/>
              </w:rPr>
              <w:t>A</w:t>
            </w:r>
            <w:r w:rsidR="0028511E" w:rsidRPr="005B5922">
              <w:rPr>
                <w:rFonts w:cstheme="minorHAnsi"/>
                <w:color w:val="002060"/>
                <w:sz w:val="24"/>
                <w:szCs w:val="24"/>
              </w:rPr>
              <w:t>mbulatorii (unități de asistență medicală ambulatorie)</w:t>
            </w:r>
          </w:p>
        </w:tc>
        <w:tc>
          <w:tcPr>
            <w:tcW w:w="1176" w:type="pct"/>
          </w:tcPr>
          <w:p w14:paraId="5F1AD9B0" w14:textId="5A56852A" w:rsidR="0028511E" w:rsidRPr="00072C90" w:rsidRDefault="005B5922" w:rsidP="00B172DA">
            <w:pPr>
              <w:spacing w:before="60"/>
              <w:jc w:val="both"/>
              <w:rPr>
                <w:rFonts w:cstheme="minorHAnsi"/>
                <w:color w:val="002060"/>
                <w:sz w:val="24"/>
                <w:szCs w:val="24"/>
              </w:rPr>
            </w:pPr>
            <w:r w:rsidRPr="005B5922">
              <w:rPr>
                <w:rFonts w:cstheme="minorHAnsi"/>
                <w:color w:val="002060"/>
                <w:sz w:val="24"/>
                <w:szCs w:val="24"/>
              </w:rPr>
              <w:t>PS</w:t>
            </w:r>
            <w:r w:rsidR="00EF162D" w:rsidRPr="005B5922">
              <w:rPr>
                <w:rFonts w:cstheme="minorHAnsi"/>
                <w:color w:val="002060"/>
                <w:sz w:val="24"/>
                <w:szCs w:val="24"/>
              </w:rPr>
              <w:t xml:space="preserve"> </w:t>
            </w:r>
            <w:r w:rsidR="0028511E" w:rsidRPr="005B5922">
              <w:rPr>
                <w:rFonts w:cstheme="minorHAnsi"/>
                <w:color w:val="002060"/>
                <w:sz w:val="24"/>
                <w:szCs w:val="24"/>
              </w:rPr>
              <w:t>Prioritate</w:t>
            </w:r>
            <w:r w:rsidR="00EF162D" w:rsidRPr="005B5922">
              <w:rPr>
                <w:rFonts w:cstheme="minorHAnsi"/>
                <w:color w:val="002060"/>
                <w:sz w:val="24"/>
                <w:szCs w:val="24"/>
              </w:rPr>
              <w:t>a</w:t>
            </w:r>
            <w:r w:rsidR="0028511E" w:rsidRPr="005B5922">
              <w:rPr>
                <w:rFonts w:cstheme="minorHAnsi"/>
                <w:color w:val="002060"/>
                <w:sz w:val="24"/>
                <w:szCs w:val="24"/>
              </w:rPr>
              <w:t xml:space="preserve"> 1</w:t>
            </w:r>
            <w:r w:rsidR="003D7476" w:rsidRPr="005B5922">
              <w:rPr>
                <w:rFonts w:cstheme="minorHAnsi"/>
                <w:color w:val="002060"/>
                <w:sz w:val="24"/>
                <w:szCs w:val="24"/>
              </w:rPr>
              <w:t xml:space="preserve"> FEDR/ </w:t>
            </w:r>
            <w:r w:rsidR="003D7476" w:rsidRPr="00072C90">
              <w:rPr>
                <w:rFonts w:cstheme="minorHAnsi"/>
                <w:color w:val="002060"/>
                <w:sz w:val="24"/>
                <w:szCs w:val="24"/>
              </w:rPr>
              <w:t>FSE+</w:t>
            </w:r>
            <w:r w:rsidR="00327292" w:rsidRPr="00072C90">
              <w:rPr>
                <w:rFonts w:cstheme="minorHAnsi"/>
                <w:color w:val="002060"/>
                <w:sz w:val="24"/>
                <w:szCs w:val="24"/>
              </w:rPr>
              <w:t xml:space="preserve"> = </w:t>
            </w:r>
            <w:r w:rsidR="00C959EC" w:rsidRPr="00A7602E">
              <w:rPr>
                <w:rFonts w:cstheme="minorHAnsi"/>
                <w:color w:val="002060"/>
                <w:sz w:val="24"/>
                <w:szCs w:val="24"/>
              </w:rPr>
              <w:t>207</w:t>
            </w:r>
            <w:r w:rsidR="00C959EC" w:rsidRPr="00A7602E">
              <w:rPr>
                <w:rFonts w:cstheme="minorHAnsi"/>
                <w:color w:val="002060"/>
                <w:sz w:val="24"/>
                <w:szCs w:val="24"/>
              </w:rPr>
              <w:t xml:space="preserve"> </w:t>
            </w:r>
            <w:r w:rsidR="00327292" w:rsidRPr="00A7602E">
              <w:rPr>
                <w:rFonts w:cstheme="minorHAnsi"/>
                <w:color w:val="002060"/>
                <w:sz w:val="24"/>
                <w:szCs w:val="24"/>
              </w:rPr>
              <w:t>mil euro</w:t>
            </w:r>
          </w:p>
          <w:p w14:paraId="500A3887" w14:textId="443F8CE0" w:rsidR="00936B6A" w:rsidRPr="005B5922" w:rsidRDefault="00C959EC" w:rsidP="00B172DA">
            <w:pPr>
              <w:spacing w:before="60"/>
              <w:jc w:val="both"/>
              <w:rPr>
                <w:rFonts w:eastAsia="Calibri" w:cstheme="minorHAnsi"/>
                <w:color w:val="002060"/>
                <w:sz w:val="24"/>
                <w:szCs w:val="24"/>
              </w:rPr>
            </w:pPr>
            <w:r w:rsidRPr="00072C90">
              <w:rPr>
                <w:rFonts w:cstheme="minorHAnsi"/>
                <w:color w:val="002060"/>
                <w:sz w:val="24"/>
                <w:szCs w:val="24"/>
              </w:rPr>
              <w:t>1</w:t>
            </w:r>
            <w:r w:rsidRPr="00072C90">
              <w:rPr>
                <w:rFonts w:cstheme="minorHAnsi"/>
                <w:color w:val="002060"/>
                <w:sz w:val="24"/>
                <w:szCs w:val="24"/>
              </w:rPr>
              <w:t>40</w:t>
            </w:r>
            <w:r w:rsidRPr="00072C90">
              <w:rPr>
                <w:rFonts w:cstheme="minorHAnsi"/>
                <w:color w:val="002060"/>
                <w:sz w:val="24"/>
                <w:szCs w:val="24"/>
              </w:rPr>
              <w:t xml:space="preserve"> </w:t>
            </w:r>
            <w:r w:rsidR="001924DF" w:rsidRPr="00072C90">
              <w:rPr>
                <w:rFonts w:cstheme="minorHAnsi"/>
                <w:color w:val="002060"/>
                <w:sz w:val="24"/>
                <w:szCs w:val="24"/>
              </w:rPr>
              <w:t>unități sanitare publice/ alte structuri</w:t>
            </w:r>
            <w:r w:rsidR="001924DF" w:rsidRPr="005B5922">
              <w:rPr>
                <w:rFonts w:cstheme="minorHAnsi"/>
                <w:color w:val="002060"/>
                <w:sz w:val="24"/>
                <w:szCs w:val="24"/>
              </w:rPr>
              <w:t xml:space="preserve"> medicale publice care desfășoară activități medicale de tip ambulatoriu/ acordă asistență medicală ambulatorie:</w:t>
            </w:r>
          </w:p>
          <w:p w14:paraId="2E259FA0" w14:textId="550C4770" w:rsidR="00936B6A" w:rsidRPr="005B5922" w:rsidRDefault="00C959EC" w:rsidP="00B172DA">
            <w:pPr>
              <w:pStyle w:val="ListParagraph"/>
              <w:numPr>
                <w:ilvl w:val="0"/>
                <w:numId w:val="14"/>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1</w:t>
            </w:r>
            <w:r>
              <w:rPr>
                <w:rFonts w:asciiTheme="minorHAnsi" w:hAnsiTheme="minorHAnsi" w:cstheme="minorHAnsi"/>
                <w:color w:val="002060"/>
                <w:sz w:val="24"/>
                <w:szCs w:val="24"/>
                <w:lang w:val="ro-RO"/>
              </w:rPr>
              <w:t>20</w:t>
            </w:r>
            <w:r w:rsidRPr="005B5922">
              <w:rPr>
                <w:rFonts w:asciiTheme="minorHAnsi" w:hAnsiTheme="minorHAnsi" w:cstheme="minorHAnsi"/>
                <w:color w:val="002060"/>
                <w:sz w:val="24"/>
                <w:szCs w:val="24"/>
                <w:lang w:val="ro-RO"/>
              </w:rPr>
              <w:t xml:space="preserve"> </w:t>
            </w:r>
            <w:r w:rsidR="00405279" w:rsidRPr="005B5922">
              <w:rPr>
                <w:rFonts w:asciiTheme="minorHAnsi" w:hAnsiTheme="minorHAnsi" w:cstheme="minorHAnsi"/>
                <w:color w:val="002060"/>
                <w:sz w:val="24"/>
                <w:szCs w:val="24"/>
                <w:lang w:val="ro-RO"/>
              </w:rPr>
              <w:t>localizate în regiuni mai puțin dezvoltate</w:t>
            </w:r>
          </w:p>
          <w:p w14:paraId="2F522B50" w14:textId="531D7A43" w:rsidR="00405279" w:rsidRPr="005B5922" w:rsidRDefault="00C959EC" w:rsidP="00B172DA">
            <w:pPr>
              <w:pStyle w:val="ListParagraph"/>
              <w:numPr>
                <w:ilvl w:val="0"/>
                <w:numId w:val="14"/>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2</w:t>
            </w:r>
            <w:r>
              <w:rPr>
                <w:rFonts w:asciiTheme="minorHAnsi" w:hAnsiTheme="minorHAnsi" w:cstheme="minorHAnsi"/>
                <w:color w:val="002060"/>
                <w:sz w:val="24"/>
                <w:szCs w:val="24"/>
                <w:lang w:val="ro-RO"/>
              </w:rPr>
              <w:t>0</w:t>
            </w:r>
            <w:r w:rsidRPr="005B5922">
              <w:rPr>
                <w:rFonts w:asciiTheme="minorHAnsi" w:hAnsiTheme="minorHAnsi" w:cstheme="minorHAnsi"/>
                <w:color w:val="002060"/>
                <w:sz w:val="24"/>
                <w:szCs w:val="24"/>
                <w:lang w:val="ro-RO"/>
              </w:rPr>
              <w:t xml:space="preserve"> </w:t>
            </w:r>
            <w:r w:rsidR="00E00F21" w:rsidRPr="005B5922">
              <w:rPr>
                <w:rFonts w:asciiTheme="minorHAnsi" w:hAnsiTheme="minorHAnsi" w:cstheme="minorHAnsi"/>
                <w:color w:val="002060"/>
                <w:sz w:val="24"/>
                <w:szCs w:val="24"/>
                <w:lang w:val="ro-RO"/>
              </w:rPr>
              <w:t>localizate în regiuni mai dezvoltate</w:t>
            </w:r>
          </w:p>
          <w:p w14:paraId="14DDD460" w14:textId="77777777" w:rsidR="0028511E" w:rsidRPr="005B5922" w:rsidRDefault="0028511E" w:rsidP="00B172DA">
            <w:pPr>
              <w:spacing w:before="60"/>
              <w:jc w:val="both"/>
              <w:rPr>
                <w:rFonts w:cstheme="minorHAnsi"/>
                <w:color w:val="002060"/>
                <w:sz w:val="24"/>
                <w:szCs w:val="24"/>
              </w:rPr>
            </w:pPr>
          </w:p>
        </w:tc>
        <w:tc>
          <w:tcPr>
            <w:tcW w:w="574" w:type="pct"/>
          </w:tcPr>
          <w:p w14:paraId="431E92F1" w14:textId="6D2FF0D7" w:rsidR="004F73CC" w:rsidRPr="005B5922" w:rsidRDefault="0028511E" w:rsidP="00B172DA">
            <w:pPr>
              <w:spacing w:before="60"/>
              <w:jc w:val="both"/>
              <w:rPr>
                <w:rFonts w:cstheme="minorHAnsi"/>
                <w:color w:val="002060"/>
                <w:sz w:val="24"/>
                <w:szCs w:val="24"/>
              </w:rPr>
            </w:pPr>
            <w:r w:rsidRPr="005B5922">
              <w:rPr>
                <w:rFonts w:cstheme="minorHAnsi"/>
                <w:color w:val="002060"/>
                <w:sz w:val="24"/>
                <w:szCs w:val="24"/>
              </w:rPr>
              <w:t>Componenta 12 Investiția 1.3</w:t>
            </w:r>
            <w:r w:rsidR="000C2085" w:rsidRPr="005B5922">
              <w:rPr>
                <w:rFonts w:cstheme="minorHAnsi"/>
                <w:color w:val="002060"/>
                <w:sz w:val="24"/>
                <w:szCs w:val="24"/>
              </w:rPr>
              <w:t>:</w:t>
            </w:r>
            <w:r w:rsidR="00276E2E" w:rsidRPr="005B5922">
              <w:rPr>
                <w:rFonts w:cstheme="minorHAnsi"/>
                <w:color w:val="002060"/>
                <w:sz w:val="24"/>
                <w:szCs w:val="24"/>
              </w:rPr>
              <w:t xml:space="preserve"> </w:t>
            </w:r>
            <w:r w:rsidR="004F73CC" w:rsidRPr="005B5922">
              <w:rPr>
                <w:rFonts w:cstheme="minorHAnsi"/>
                <w:color w:val="002060"/>
                <w:sz w:val="24"/>
                <w:szCs w:val="24"/>
              </w:rPr>
              <w:t xml:space="preserve">Unități de asistență medicală ambulatorie (Alocare – 80,20 </w:t>
            </w:r>
            <w:proofErr w:type="spellStart"/>
            <w:r w:rsidR="004F73CC" w:rsidRPr="005B5922">
              <w:rPr>
                <w:rFonts w:cstheme="minorHAnsi"/>
                <w:color w:val="002060"/>
                <w:sz w:val="24"/>
                <w:szCs w:val="24"/>
              </w:rPr>
              <w:t>mil.euro</w:t>
            </w:r>
            <w:proofErr w:type="spellEnd"/>
            <w:r w:rsidR="004F73CC" w:rsidRPr="005B5922">
              <w:rPr>
                <w:rFonts w:cstheme="minorHAnsi"/>
                <w:color w:val="002060"/>
                <w:sz w:val="24"/>
                <w:szCs w:val="24"/>
              </w:rPr>
              <w:t>)</w:t>
            </w:r>
          </w:p>
          <w:p w14:paraId="520C5734" w14:textId="77777777" w:rsidR="004F73CC" w:rsidRPr="005B5922" w:rsidRDefault="004F73CC" w:rsidP="00B172DA">
            <w:pPr>
              <w:spacing w:before="60"/>
              <w:jc w:val="both"/>
              <w:rPr>
                <w:rFonts w:cstheme="minorHAnsi"/>
                <w:color w:val="002060"/>
                <w:sz w:val="24"/>
                <w:szCs w:val="24"/>
              </w:rPr>
            </w:pPr>
          </w:p>
          <w:p w14:paraId="3C898A65" w14:textId="264DE6D8" w:rsidR="004F73CC" w:rsidRPr="005B5922" w:rsidRDefault="005E41DB" w:rsidP="00B172DA">
            <w:pPr>
              <w:spacing w:before="60"/>
              <w:jc w:val="both"/>
              <w:rPr>
                <w:rFonts w:cstheme="minorHAnsi"/>
                <w:color w:val="002060"/>
                <w:sz w:val="24"/>
                <w:szCs w:val="24"/>
              </w:rPr>
            </w:pPr>
            <w:r w:rsidRPr="005B5922">
              <w:rPr>
                <w:rFonts w:cstheme="minorHAnsi"/>
                <w:color w:val="002060"/>
                <w:sz w:val="24"/>
                <w:szCs w:val="24"/>
              </w:rPr>
              <w:t xml:space="preserve">Reabilitarea, modernizarea, extinderea (inclusiv prin construcții de </w:t>
            </w:r>
            <w:r w:rsidRPr="005B5922">
              <w:rPr>
                <w:rFonts w:cstheme="minorHAnsi"/>
                <w:color w:val="002060"/>
                <w:sz w:val="24"/>
                <w:szCs w:val="24"/>
              </w:rPr>
              <w:lastRenderedPageBreak/>
              <w:t>clădiri noi) a cel puțin 30 de unități de asistență medicală ambulatorie. Selecția va ține seama și de lista proiectelor care sunt înscrise pe lista de rezervă a cererii de proiecte din cadrul Programului Operațional Regional (2014-2020) și alte proiecte, în funcție de nivelul lor de maturitate. Cel puțin 20 de unități de asistență medicală ambulatorie vor fi situate în regiuni sau localități mai puțin dezvoltate (definite ca acele regiuni/localități în care PIB-ul pe cap de locuitor &lt; 75 % din media UE-27).</w:t>
            </w:r>
          </w:p>
        </w:tc>
        <w:tc>
          <w:tcPr>
            <w:tcW w:w="2749" w:type="pct"/>
          </w:tcPr>
          <w:p w14:paraId="513A1AB5" w14:textId="71B69EC2" w:rsidR="0028511E" w:rsidRPr="005B5922" w:rsidRDefault="0028511E" w:rsidP="00B172DA">
            <w:pPr>
              <w:spacing w:before="60"/>
              <w:jc w:val="both"/>
              <w:rPr>
                <w:rFonts w:cstheme="minorHAnsi"/>
                <w:color w:val="002060"/>
                <w:sz w:val="24"/>
                <w:szCs w:val="24"/>
              </w:rPr>
            </w:pPr>
            <w:r w:rsidRPr="005B5922">
              <w:rPr>
                <w:rFonts w:cstheme="minorHAnsi"/>
                <w:color w:val="002060"/>
                <w:sz w:val="24"/>
                <w:szCs w:val="24"/>
              </w:rPr>
              <w:lastRenderedPageBreak/>
              <w:t xml:space="preserve">Deoarece atât </w:t>
            </w:r>
            <w:r w:rsidR="005B5922" w:rsidRPr="005B5922">
              <w:rPr>
                <w:rFonts w:cstheme="minorHAnsi"/>
                <w:color w:val="002060"/>
                <w:sz w:val="24"/>
                <w:szCs w:val="24"/>
              </w:rPr>
              <w:t>PS</w:t>
            </w:r>
            <w:r w:rsidRPr="005B5922">
              <w:rPr>
                <w:rFonts w:cstheme="minorHAnsi"/>
                <w:color w:val="002060"/>
                <w:sz w:val="24"/>
                <w:szCs w:val="24"/>
              </w:rPr>
              <w:t xml:space="preserve">, cât și PNRR vor susține investiții în infrastructura/ dotări pentru </w:t>
            </w:r>
            <w:r w:rsidR="00AE1D1F" w:rsidRPr="005B5922">
              <w:rPr>
                <w:rFonts w:cstheme="minorHAnsi"/>
                <w:color w:val="002060"/>
                <w:sz w:val="24"/>
                <w:szCs w:val="24"/>
              </w:rPr>
              <w:t>unitățile sanitare</w:t>
            </w:r>
            <w:r w:rsidR="00534F11" w:rsidRPr="005B5922">
              <w:rPr>
                <w:rFonts w:cstheme="minorHAnsi"/>
                <w:color w:val="002060"/>
                <w:sz w:val="24"/>
                <w:szCs w:val="24"/>
              </w:rPr>
              <w:t xml:space="preserve"> </w:t>
            </w:r>
            <w:r w:rsidRPr="005B5922">
              <w:rPr>
                <w:rFonts w:cstheme="minorHAnsi"/>
                <w:color w:val="002060"/>
                <w:sz w:val="24"/>
                <w:szCs w:val="24"/>
              </w:rPr>
              <w:t xml:space="preserve"> </w:t>
            </w:r>
            <w:r w:rsidR="00534F11" w:rsidRPr="005B5922">
              <w:rPr>
                <w:rFonts w:cstheme="minorHAnsi"/>
                <w:color w:val="002060"/>
                <w:sz w:val="24"/>
                <w:szCs w:val="24"/>
              </w:rPr>
              <w:t xml:space="preserve">publice/ alte structuri medicale publice care desfășoară activități medicale de tip ambulatoriu/ acordă asistență medicală ambulatorie, </w:t>
            </w:r>
            <w:r w:rsidRPr="005B5922">
              <w:rPr>
                <w:rFonts w:cstheme="minorHAnsi"/>
                <w:color w:val="002060"/>
                <w:sz w:val="24"/>
                <w:szCs w:val="24"/>
              </w:rPr>
              <w:t xml:space="preserve">în vederea evitării dublei finanțări </w:t>
            </w:r>
            <w:r w:rsidRPr="005B5922">
              <w:rPr>
                <w:rFonts w:cstheme="minorHAnsi"/>
                <w:color w:val="002060"/>
                <w:sz w:val="24"/>
                <w:szCs w:val="24"/>
                <w:u w:val="single"/>
              </w:rPr>
              <w:t>unitățile sanitare publice susținute din PNRR vor fi excluse de la finanțarea din</w:t>
            </w:r>
            <w:r w:rsidRPr="005B5922">
              <w:rPr>
                <w:rFonts w:cstheme="minorHAnsi"/>
                <w:color w:val="002060"/>
                <w:sz w:val="24"/>
                <w:szCs w:val="24"/>
              </w:rPr>
              <w:t xml:space="preserve"> </w:t>
            </w:r>
            <w:r w:rsidR="005B5922" w:rsidRPr="005B5922">
              <w:rPr>
                <w:rFonts w:cstheme="minorHAnsi"/>
                <w:color w:val="002060"/>
                <w:sz w:val="24"/>
                <w:szCs w:val="24"/>
              </w:rPr>
              <w:t>PS</w:t>
            </w:r>
            <w:r w:rsidRPr="005B5922">
              <w:rPr>
                <w:rFonts w:cstheme="minorHAnsi"/>
                <w:color w:val="002060"/>
                <w:sz w:val="24"/>
                <w:szCs w:val="24"/>
              </w:rPr>
              <w:t xml:space="preserve"> (ghidurile solicitantului </w:t>
            </w:r>
            <w:r w:rsidR="005B5922" w:rsidRPr="005B5922">
              <w:rPr>
                <w:rFonts w:cstheme="minorHAnsi"/>
                <w:color w:val="002060"/>
                <w:sz w:val="24"/>
                <w:szCs w:val="24"/>
              </w:rPr>
              <w:t>PS</w:t>
            </w:r>
            <w:r w:rsidRPr="005B5922">
              <w:rPr>
                <w:rFonts w:cstheme="minorHAnsi"/>
                <w:color w:val="002060"/>
                <w:sz w:val="24"/>
                <w:szCs w:val="24"/>
              </w:rPr>
              <w:t xml:space="preserve"> vor specifica acest lucru).</w:t>
            </w:r>
          </w:p>
          <w:p w14:paraId="49493A5A" w14:textId="3443470C" w:rsidR="0054057F"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F220A0" w:rsidRPr="005B5922">
              <w:rPr>
                <w:rFonts w:cstheme="minorHAnsi"/>
                <w:color w:val="002060"/>
                <w:sz w:val="24"/>
                <w:szCs w:val="24"/>
              </w:rPr>
              <w:t xml:space="preserve"> va acorda </w:t>
            </w:r>
            <w:bookmarkStart w:id="0" w:name="_Hlk83735824"/>
            <w:bookmarkStart w:id="1" w:name="_Hlk51062231"/>
            <w:bookmarkStart w:id="2" w:name="_Hlk51151765"/>
            <w:bookmarkStart w:id="3" w:name="_Hlk52382954"/>
            <w:r w:rsidR="00F220A0" w:rsidRPr="005B5922">
              <w:rPr>
                <w:rFonts w:cstheme="minorHAnsi"/>
                <w:color w:val="002060"/>
                <w:sz w:val="24"/>
                <w:szCs w:val="24"/>
              </w:rPr>
              <w:t>prioritate la finanțare investițiilor în infrastructura publică</w:t>
            </w:r>
            <w:r w:rsidR="00E3630A" w:rsidRPr="005B5922">
              <w:rPr>
                <w:rFonts w:cstheme="minorHAnsi"/>
                <w:color w:val="002060"/>
                <w:sz w:val="24"/>
                <w:szCs w:val="24"/>
              </w:rPr>
              <w:t>:</w:t>
            </w:r>
          </w:p>
          <w:p w14:paraId="24D7E480" w14:textId="581218AB" w:rsidR="00F220A0" w:rsidRPr="005B5922" w:rsidRDefault="00F220A0" w:rsidP="00B172DA">
            <w:pPr>
              <w:pStyle w:val="ListParagraph"/>
              <w:numPr>
                <w:ilvl w:val="0"/>
                <w:numId w:val="1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a unităților sanitare/ altor structuri medicale publice care desfășoară activități medicale de tip ambulatoriu/ acordă asistență medicală ambulatorie:</w:t>
            </w:r>
            <w:bookmarkStart w:id="4" w:name="_Hlk102466291"/>
            <w:bookmarkEnd w:id="0"/>
            <w:bookmarkEnd w:id="4"/>
          </w:p>
          <w:bookmarkEnd w:id="1"/>
          <w:bookmarkEnd w:id="2"/>
          <w:bookmarkEnd w:id="3"/>
          <w:p w14:paraId="1E2587F1" w14:textId="77777777" w:rsidR="00F220A0" w:rsidRPr="005B5922" w:rsidRDefault="00F220A0" w:rsidP="00B172DA">
            <w:pPr>
              <w:pStyle w:val="ListParagraph"/>
              <w:numPr>
                <w:ilvl w:val="0"/>
                <w:numId w:val="1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unităților sanitare publice care vor implementa programe de screening (populațional) (OIS: cancer, hepatită, tuberculoză etc.)</w:t>
            </w:r>
          </w:p>
          <w:p w14:paraId="20DCF6DA" w14:textId="6724AF0B" w:rsidR="00F220A0" w:rsidRPr="005B5922" w:rsidRDefault="00F220A0" w:rsidP="00B172DA">
            <w:pPr>
              <w:pStyle w:val="ListParagraph"/>
              <w:numPr>
                <w:ilvl w:val="0"/>
                <w:numId w:val="1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lastRenderedPageBreak/>
              <w:t>structurilor sanitare/ alt</w:t>
            </w:r>
            <w:r w:rsidR="00E3630A" w:rsidRPr="005B5922">
              <w:rPr>
                <w:rFonts w:asciiTheme="minorHAnsi" w:hAnsiTheme="minorHAnsi" w:cstheme="minorHAnsi"/>
                <w:color w:val="002060"/>
                <w:sz w:val="24"/>
                <w:szCs w:val="24"/>
                <w:lang w:val="ro-RO"/>
              </w:rPr>
              <w:t>e</w:t>
            </w:r>
            <w:r w:rsidRPr="005B5922">
              <w:rPr>
                <w:rFonts w:asciiTheme="minorHAnsi" w:hAnsiTheme="minorHAnsi" w:cstheme="minorHAnsi"/>
                <w:color w:val="002060"/>
                <w:sz w:val="24"/>
                <w:szCs w:val="24"/>
                <w:lang w:val="ro-RO"/>
              </w:rPr>
              <w:t xml:space="preserve"> structuri publice care desfășoară activități medicale de tip ambulatoriu/ acordă asistență medicală ambulatorie de obstetrică ginecologie, inclusiv unitățile sanitare care vor implementa programe de screening / diagnosticare și tratament în vederea creșterii capacitații acestora de a oferi servicii de screening prenatal și de urmărire a gravidei</w:t>
            </w:r>
          </w:p>
          <w:p w14:paraId="57F6DBEA" w14:textId="77777777" w:rsidR="00F220A0" w:rsidRPr="005B5922" w:rsidRDefault="00F220A0" w:rsidP="00B172DA">
            <w:pPr>
              <w:pStyle w:val="ListParagraph"/>
              <w:numPr>
                <w:ilvl w:val="0"/>
                <w:numId w:val="1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 xml:space="preserve">unităților sanitare publice integrate spitalelor de pediatrie, inclusiv investiții în înființarea/ reabilitarea/ dotarea de cabinete de asistență medicală stomatologică în structura ambulatoriilor integrate spitalelor de pediatrie si spitalelor publice care au secții de pediatrie, care să furnizeze servicii de asistență medicală stomatologică acordată copiilor, copiilor inclusiv cu nevoi speciale </w:t>
            </w:r>
          </w:p>
          <w:p w14:paraId="345F8E3A" w14:textId="77777777" w:rsidR="00F220A0" w:rsidRPr="005B5922" w:rsidRDefault="00F220A0" w:rsidP="00B172DA">
            <w:pPr>
              <w:pStyle w:val="ListParagraph"/>
              <w:numPr>
                <w:ilvl w:val="0"/>
                <w:numId w:val="12"/>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ambulatoriilor sau structurilor de tip ambulatoriu care furnizează servicii de sănătate mintală (structuri publice care desfășoară activități medicale de tip ambulatoriu și centre de sănătate mintală)</w:t>
            </w:r>
          </w:p>
          <w:p w14:paraId="50E02854" w14:textId="77777777" w:rsidR="00F220A0" w:rsidRPr="005B5922" w:rsidRDefault="00F220A0" w:rsidP="00B172DA">
            <w:pPr>
              <w:pStyle w:val="ListParagraph"/>
              <w:widowControl w:val="0"/>
              <w:numPr>
                <w:ilvl w:val="0"/>
                <w:numId w:val="12"/>
              </w:numPr>
              <w:autoSpaceDE w:val="0"/>
              <w:autoSpaceDN w:val="0"/>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 xml:space="preserve">dispensare TB (care furnizează servicii destinate persoanelor suspecte/ confirmate cu tuberculoză) </w:t>
            </w:r>
          </w:p>
          <w:p w14:paraId="67BEB0AB" w14:textId="03B191BE" w:rsidR="00F220A0" w:rsidRPr="005B5922" w:rsidRDefault="00F220A0" w:rsidP="00B172DA">
            <w:pPr>
              <w:pStyle w:val="ListParagraph"/>
              <w:widowControl w:val="0"/>
              <w:numPr>
                <w:ilvl w:val="0"/>
                <w:numId w:val="12"/>
              </w:numPr>
              <w:autoSpaceDE w:val="0"/>
              <w:autoSpaceDN w:val="0"/>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 xml:space="preserve">ambulatoriilor sau structurilor medicale de tip ambulatoriu care furnizează servicii ambulatorii </w:t>
            </w:r>
          </w:p>
          <w:p w14:paraId="45BA1E96" w14:textId="77777777" w:rsidR="00745FEB" w:rsidRDefault="0097586F" w:rsidP="00B172DA">
            <w:pPr>
              <w:spacing w:before="60"/>
              <w:jc w:val="both"/>
              <w:rPr>
                <w:rFonts w:cstheme="minorHAnsi"/>
                <w:color w:val="002060"/>
                <w:sz w:val="24"/>
                <w:szCs w:val="24"/>
              </w:rPr>
            </w:pPr>
            <w:r w:rsidRPr="005B5922">
              <w:rPr>
                <w:rFonts w:cstheme="minorHAnsi"/>
                <w:color w:val="002060"/>
                <w:sz w:val="24"/>
                <w:szCs w:val="24"/>
              </w:rPr>
              <w:t xml:space="preserve">Intervențiile de infrastructură/ dotare atât din </w:t>
            </w:r>
            <w:r w:rsidR="005B5922" w:rsidRPr="005B5922">
              <w:rPr>
                <w:rFonts w:cstheme="minorHAnsi"/>
                <w:color w:val="002060"/>
                <w:sz w:val="24"/>
                <w:szCs w:val="24"/>
              </w:rPr>
              <w:t>PS</w:t>
            </w:r>
            <w:r w:rsidRPr="005B5922">
              <w:rPr>
                <w:rFonts w:cstheme="minorHAnsi"/>
                <w:color w:val="002060"/>
                <w:sz w:val="24"/>
                <w:szCs w:val="24"/>
              </w:rPr>
              <w:t xml:space="preserve">, cât și din PNRR </w:t>
            </w:r>
            <w:r w:rsidR="00534F11" w:rsidRPr="005B5922">
              <w:rPr>
                <w:rFonts w:cstheme="minorHAnsi"/>
                <w:color w:val="002060"/>
                <w:sz w:val="24"/>
                <w:szCs w:val="24"/>
              </w:rPr>
              <w:t>vor avea măsuri</w:t>
            </w:r>
            <w:r w:rsidRPr="005B5922">
              <w:rPr>
                <w:rFonts w:cstheme="minorHAnsi"/>
                <w:color w:val="002060"/>
                <w:sz w:val="24"/>
                <w:szCs w:val="24"/>
              </w:rPr>
              <w:t xml:space="preserve"> complementare de tip FSE+ Prioritatea 1 care constau în dezvoltarea de </w:t>
            </w:r>
            <w:r w:rsidR="00B61E75" w:rsidRPr="005B5922">
              <w:rPr>
                <w:rFonts w:cstheme="minorHAnsi"/>
                <w:b/>
                <w:bCs/>
                <w:color w:val="002060"/>
                <w:sz w:val="24"/>
                <w:szCs w:val="24"/>
              </w:rPr>
              <w:t>instrumente de lucru</w:t>
            </w:r>
            <w:r w:rsidR="00B61E75" w:rsidRPr="005B5922">
              <w:rPr>
                <w:rFonts w:cstheme="minorHAnsi"/>
                <w:color w:val="002060"/>
                <w:sz w:val="24"/>
                <w:szCs w:val="24"/>
              </w:rPr>
              <w:t xml:space="preserve"> </w:t>
            </w:r>
            <w:r w:rsidR="00B61E75" w:rsidRPr="005B5922">
              <w:rPr>
                <w:rFonts w:cstheme="minorHAnsi"/>
                <w:i/>
                <w:iCs/>
                <w:color w:val="002060"/>
                <w:sz w:val="24"/>
                <w:szCs w:val="24"/>
              </w:rPr>
              <w:t xml:space="preserve">(ex. ghiduri de practică, proceduri/ protocoale de lucru/ metodologii/ standarde de calitate / traseu al pacienților/sistem de trimitere / management de caz etc) și </w:t>
            </w:r>
            <w:r w:rsidR="00DC6789" w:rsidRPr="005B5922">
              <w:rPr>
                <w:rFonts w:cstheme="minorHAnsi"/>
                <w:color w:val="002060"/>
                <w:sz w:val="24"/>
                <w:szCs w:val="24"/>
              </w:rPr>
              <w:t xml:space="preserve"> </w:t>
            </w:r>
            <w:r w:rsidR="00DC6789" w:rsidRPr="005B5922">
              <w:rPr>
                <w:rFonts w:cstheme="minorHAnsi"/>
                <w:b/>
                <w:bCs/>
                <w:color w:val="002060"/>
                <w:sz w:val="24"/>
                <w:szCs w:val="24"/>
              </w:rPr>
              <w:t>formarea personalului</w:t>
            </w:r>
            <w:r w:rsidR="00DC6789" w:rsidRPr="005B5922">
              <w:rPr>
                <w:rFonts w:cstheme="minorHAnsi"/>
                <w:color w:val="002060"/>
                <w:sz w:val="24"/>
                <w:szCs w:val="24"/>
              </w:rPr>
              <w:t xml:space="preserve"> implicat în furnizarea serviciilor în regim ambulatoriu menite a contribui la îmbunătățirea accesibilității și eficacității serviciilor oferite în regim ambulatoriu.</w:t>
            </w:r>
          </w:p>
          <w:p w14:paraId="044FA2C2" w14:textId="519991E6" w:rsidR="00C959EC" w:rsidRPr="005B5922" w:rsidRDefault="00C959EC" w:rsidP="00B172DA">
            <w:pPr>
              <w:spacing w:before="60"/>
              <w:jc w:val="both"/>
              <w:rPr>
                <w:rFonts w:cstheme="minorHAnsi"/>
                <w:color w:val="002060"/>
                <w:sz w:val="24"/>
                <w:szCs w:val="24"/>
              </w:rPr>
            </w:pPr>
            <w:r w:rsidRPr="00C959EC">
              <w:rPr>
                <w:rFonts w:cstheme="minorHAnsi"/>
                <w:color w:val="002060"/>
                <w:sz w:val="24"/>
                <w:szCs w:val="24"/>
              </w:rPr>
              <w:t>În contextul STEP, a fost ajustată alocarea acestei măsuri cu valoarea aferentă cuantumului de flexibilitate care a fost realocată la priorit</w:t>
            </w:r>
            <w:r w:rsidR="00105728">
              <w:rPr>
                <w:rFonts w:cstheme="minorHAnsi"/>
                <w:color w:val="002060"/>
                <w:sz w:val="24"/>
                <w:szCs w:val="24"/>
              </w:rPr>
              <w:t>ățile</w:t>
            </w:r>
            <w:r w:rsidRPr="00C959EC">
              <w:rPr>
                <w:rFonts w:cstheme="minorHAnsi"/>
                <w:color w:val="002060"/>
                <w:sz w:val="24"/>
                <w:szCs w:val="24"/>
              </w:rPr>
              <w:t xml:space="preserve"> STEP nou creat</w:t>
            </w:r>
            <w:r w:rsidR="00105728">
              <w:rPr>
                <w:rFonts w:cstheme="minorHAnsi"/>
                <w:color w:val="002060"/>
                <w:sz w:val="24"/>
                <w:szCs w:val="24"/>
              </w:rPr>
              <w:t>e</w:t>
            </w:r>
            <w:r w:rsidRPr="00C959EC">
              <w:rPr>
                <w:rFonts w:cstheme="minorHAnsi"/>
                <w:color w:val="002060"/>
                <w:sz w:val="24"/>
                <w:szCs w:val="24"/>
              </w:rPr>
              <w:t xml:space="preserve"> în PS – </w:t>
            </w:r>
            <w:r>
              <w:rPr>
                <w:rFonts w:cstheme="minorHAnsi"/>
                <w:color w:val="002060"/>
                <w:sz w:val="24"/>
                <w:szCs w:val="24"/>
              </w:rPr>
              <w:t>P8 FSE+/</w:t>
            </w:r>
            <w:r w:rsidRPr="00C959EC">
              <w:rPr>
                <w:rFonts w:cstheme="minorHAnsi"/>
                <w:color w:val="002060"/>
                <w:sz w:val="24"/>
                <w:szCs w:val="24"/>
              </w:rPr>
              <w:t>P9</w:t>
            </w:r>
            <w:r>
              <w:rPr>
                <w:rFonts w:cstheme="minorHAnsi"/>
                <w:color w:val="002060"/>
                <w:sz w:val="24"/>
                <w:szCs w:val="24"/>
              </w:rPr>
              <w:t xml:space="preserve"> FEDR</w:t>
            </w:r>
            <w:r w:rsidRPr="00C959EC">
              <w:rPr>
                <w:rFonts w:cstheme="minorHAnsi"/>
                <w:color w:val="002060"/>
                <w:sz w:val="24"/>
                <w:szCs w:val="24"/>
              </w:rPr>
              <w:t>, având în vedere faptul că intervenții similare sunt susținute din PNRR.</w:t>
            </w:r>
          </w:p>
        </w:tc>
      </w:tr>
      <w:tr w:rsidR="005B5922" w:rsidRPr="005B5922" w14:paraId="213BC670" w14:textId="77777777" w:rsidTr="00327292">
        <w:tc>
          <w:tcPr>
            <w:tcW w:w="501" w:type="pct"/>
            <w:gridSpan w:val="2"/>
          </w:tcPr>
          <w:p w14:paraId="62D62F6C" w14:textId="77777777" w:rsidR="009B6196" w:rsidRPr="005B5922" w:rsidRDefault="009B6196" w:rsidP="00B172DA">
            <w:pPr>
              <w:spacing w:before="60"/>
              <w:jc w:val="both"/>
              <w:rPr>
                <w:rFonts w:cstheme="minorHAnsi"/>
                <w:color w:val="002060"/>
                <w:sz w:val="24"/>
                <w:szCs w:val="24"/>
              </w:rPr>
            </w:pPr>
            <w:r w:rsidRPr="005B5922">
              <w:rPr>
                <w:rFonts w:cstheme="minorHAnsi"/>
                <w:color w:val="002060"/>
                <w:sz w:val="24"/>
                <w:szCs w:val="24"/>
              </w:rPr>
              <w:lastRenderedPageBreak/>
              <w:t xml:space="preserve">Unități medicale mobile </w:t>
            </w:r>
          </w:p>
          <w:p w14:paraId="70D2D427" w14:textId="4DE63613" w:rsidR="006A53E4" w:rsidRPr="005B5922" w:rsidRDefault="006A53E4" w:rsidP="00B172DA">
            <w:pPr>
              <w:spacing w:before="60"/>
              <w:jc w:val="both"/>
              <w:rPr>
                <w:rFonts w:cstheme="minorHAnsi"/>
                <w:color w:val="002060"/>
                <w:sz w:val="24"/>
                <w:szCs w:val="24"/>
              </w:rPr>
            </w:pPr>
          </w:p>
        </w:tc>
        <w:tc>
          <w:tcPr>
            <w:tcW w:w="1176" w:type="pct"/>
          </w:tcPr>
          <w:p w14:paraId="153E13ED" w14:textId="51F8EAC2" w:rsidR="00534F11"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534F11" w:rsidRPr="005B5922">
              <w:rPr>
                <w:rFonts w:cstheme="minorHAnsi"/>
                <w:color w:val="002060"/>
                <w:sz w:val="24"/>
                <w:szCs w:val="24"/>
              </w:rPr>
              <w:t xml:space="preserve"> Prioritatea 1</w:t>
            </w:r>
          </w:p>
          <w:p w14:paraId="3A955032" w14:textId="77777777" w:rsidR="006A53E4" w:rsidRPr="005B5922" w:rsidRDefault="00F73E00" w:rsidP="00B172DA">
            <w:pPr>
              <w:spacing w:before="60"/>
              <w:jc w:val="both"/>
              <w:rPr>
                <w:rFonts w:cstheme="minorHAnsi"/>
                <w:color w:val="002060"/>
                <w:sz w:val="24"/>
                <w:szCs w:val="24"/>
                <w:lang w:eastAsia="en-GB"/>
              </w:rPr>
            </w:pPr>
            <w:r w:rsidRPr="005B5922">
              <w:rPr>
                <w:rFonts w:cstheme="minorHAnsi"/>
                <w:color w:val="002060"/>
                <w:sz w:val="24"/>
                <w:szCs w:val="24"/>
              </w:rPr>
              <w:t>FSE+ - implementarea programelor de screening de</w:t>
            </w:r>
            <w:r w:rsidR="0035691D" w:rsidRPr="005B5922">
              <w:rPr>
                <w:rFonts w:cstheme="minorHAnsi"/>
                <w:color w:val="002060"/>
                <w:sz w:val="24"/>
                <w:szCs w:val="24"/>
                <w:lang w:eastAsia="en-GB"/>
              </w:rPr>
              <w:t xml:space="preserve"> cancer de col uterin / screening cancer de sân</w:t>
            </w:r>
          </w:p>
          <w:p w14:paraId="4F20C6A1" w14:textId="75302EE8" w:rsidR="00534F11" w:rsidRPr="005B5922" w:rsidRDefault="00534F11" w:rsidP="00B172DA">
            <w:pPr>
              <w:spacing w:before="60"/>
              <w:jc w:val="both"/>
              <w:rPr>
                <w:rFonts w:cstheme="minorHAnsi"/>
                <w:color w:val="002060"/>
                <w:sz w:val="24"/>
                <w:szCs w:val="24"/>
              </w:rPr>
            </w:pPr>
            <w:r w:rsidRPr="005B5922">
              <w:rPr>
                <w:rFonts w:cstheme="minorHAnsi"/>
                <w:color w:val="002060"/>
                <w:sz w:val="24"/>
                <w:szCs w:val="24"/>
              </w:rPr>
              <w:t>Implementarea de programe de screening pentru bolile majore de sănătate publică pentru GV/ comunități cu grad de vulnerabilitate crescut* conform descrierii din secțiunea de grup țintă (ex. cancer col uterin/ de sân)</w:t>
            </w:r>
          </w:p>
        </w:tc>
        <w:tc>
          <w:tcPr>
            <w:tcW w:w="574" w:type="pct"/>
          </w:tcPr>
          <w:p w14:paraId="6DB82328" w14:textId="0FE8B958" w:rsidR="006A53E4" w:rsidRPr="005B5922" w:rsidRDefault="006A53E4" w:rsidP="00B172DA">
            <w:pPr>
              <w:spacing w:before="60"/>
              <w:jc w:val="both"/>
              <w:rPr>
                <w:rFonts w:cstheme="minorHAnsi"/>
                <w:color w:val="002060"/>
                <w:sz w:val="24"/>
                <w:szCs w:val="24"/>
              </w:rPr>
            </w:pPr>
            <w:r w:rsidRPr="005B5922">
              <w:rPr>
                <w:rFonts w:cstheme="minorHAnsi"/>
                <w:color w:val="002060"/>
                <w:sz w:val="24"/>
                <w:szCs w:val="24"/>
              </w:rPr>
              <w:t>Componenta 12 Investiția 1.2</w:t>
            </w:r>
            <w:r w:rsidR="00276E2E" w:rsidRPr="005B5922">
              <w:rPr>
                <w:rFonts w:cstheme="minorHAnsi"/>
                <w:color w:val="002060"/>
                <w:sz w:val="24"/>
                <w:szCs w:val="24"/>
              </w:rPr>
              <w:t xml:space="preserve"> Unități medicale mobile</w:t>
            </w:r>
          </w:p>
          <w:p w14:paraId="4FF574C5" w14:textId="5C1EE0DA" w:rsidR="006E45BF" w:rsidRPr="005B5922" w:rsidRDefault="00505A11" w:rsidP="00B172DA">
            <w:pPr>
              <w:spacing w:before="60"/>
              <w:jc w:val="both"/>
              <w:rPr>
                <w:rFonts w:cstheme="minorHAnsi"/>
                <w:color w:val="002060"/>
                <w:sz w:val="24"/>
                <w:szCs w:val="24"/>
              </w:rPr>
            </w:pPr>
            <w:r w:rsidRPr="005B5922">
              <w:rPr>
                <w:rFonts w:cstheme="minorHAnsi"/>
                <w:color w:val="002060"/>
                <w:sz w:val="24"/>
                <w:szCs w:val="24"/>
              </w:rPr>
              <w:t xml:space="preserve"> (Alocare - 4,02 </w:t>
            </w:r>
            <w:proofErr w:type="spellStart"/>
            <w:r w:rsidRPr="005B5922">
              <w:rPr>
                <w:rFonts w:cstheme="minorHAnsi"/>
                <w:color w:val="002060"/>
                <w:sz w:val="24"/>
                <w:szCs w:val="24"/>
              </w:rPr>
              <w:t>mil.euro</w:t>
            </w:r>
            <w:proofErr w:type="spellEnd"/>
            <w:r w:rsidRPr="005B5922">
              <w:rPr>
                <w:rFonts w:cstheme="minorHAnsi"/>
                <w:color w:val="002060"/>
                <w:sz w:val="24"/>
                <w:szCs w:val="24"/>
              </w:rPr>
              <w:t>)</w:t>
            </w:r>
          </w:p>
          <w:p w14:paraId="76ACB7A0" w14:textId="77777777" w:rsidR="00534F11" w:rsidRPr="005B5922" w:rsidRDefault="00C74EB7" w:rsidP="00B172DA">
            <w:pPr>
              <w:spacing w:before="60"/>
              <w:jc w:val="both"/>
              <w:rPr>
                <w:rFonts w:cstheme="minorHAnsi"/>
                <w:color w:val="002060"/>
                <w:sz w:val="24"/>
                <w:szCs w:val="24"/>
              </w:rPr>
            </w:pPr>
            <w:r w:rsidRPr="005B5922">
              <w:rPr>
                <w:rFonts w:cstheme="minorHAnsi"/>
                <w:color w:val="002060"/>
                <w:sz w:val="24"/>
                <w:szCs w:val="24"/>
              </w:rPr>
              <w:t>Achiziționarea</w:t>
            </w:r>
            <w:r w:rsidR="00505A11" w:rsidRPr="005B5922">
              <w:rPr>
                <w:rFonts w:cstheme="minorHAnsi"/>
                <w:color w:val="002060"/>
                <w:sz w:val="24"/>
                <w:szCs w:val="24"/>
              </w:rPr>
              <w:t xml:space="preserve"> de caravane medicale </w:t>
            </w:r>
            <w:r w:rsidRPr="005B5922">
              <w:rPr>
                <w:rFonts w:cstheme="minorHAnsi"/>
                <w:color w:val="002060"/>
                <w:sz w:val="24"/>
                <w:szCs w:val="24"/>
              </w:rPr>
              <w:t xml:space="preserve">dotate </w:t>
            </w:r>
            <w:r w:rsidR="00505A11" w:rsidRPr="005B5922">
              <w:rPr>
                <w:rFonts w:cstheme="minorHAnsi"/>
                <w:color w:val="002060"/>
                <w:sz w:val="24"/>
                <w:szCs w:val="24"/>
              </w:rPr>
              <w:t xml:space="preserve">care vor putea derula activități de screening pentru cancerul mamar și pentru cancerul cervical în zonele cu acces limitat la servicii de asistență medicală specializată, inclusiv pentru zonele defavorizate cu </w:t>
            </w:r>
            <w:r w:rsidR="00505A11" w:rsidRPr="005B5922">
              <w:rPr>
                <w:rFonts w:cstheme="minorHAnsi"/>
                <w:color w:val="002060"/>
                <w:sz w:val="24"/>
                <w:szCs w:val="24"/>
              </w:rPr>
              <w:lastRenderedPageBreak/>
              <w:t xml:space="preserve">populație majoritar romă sau comunități rome, după caz. </w:t>
            </w:r>
          </w:p>
          <w:p w14:paraId="21AA9A93" w14:textId="54846893" w:rsidR="00505A11" w:rsidRPr="005B5922" w:rsidRDefault="00505A11" w:rsidP="00B172DA">
            <w:pPr>
              <w:spacing w:before="60"/>
              <w:jc w:val="both"/>
              <w:rPr>
                <w:rFonts w:cstheme="minorHAnsi"/>
                <w:color w:val="002060"/>
                <w:sz w:val="24"/>
                <w:szCs w:val="24"/>
              </w:rPr>
            </w:pPr>
            <w:r w:rsidRPr="005B5922">
              <w:rPr>
                <w:rFonts w:cstheme="minorHAnsi"/>
                <w:color w:val="002060"/>
                <w:sz w:val="24"/>
                <w:szCs w:val="24"/>
              </w:rPr>
              <w:t>Caravanele de screening (unități mobile) vor fi alocate centrelor regionale care derulează în acest moment activități de screening pentru cancerul cervical și care au deja expertiză în astfel de activități (10 caravane în 8 centre).</w:t>
            </w:r>
          </w:p>
        </w:tc>
        <w:tc>
          <w:tcPr>
            <w:tcW w:w="2749" w:type="pct"/>
          </w:tcPr>
          <w:p w14:paraId="6321C2D1" w14:textId="68A1B5B3" w:rsidR="006E45BF" w:rsidRPr="005B5922" w:rsidRDefault="006E45BF" w:rsidP="00B172DA">
            <w:pPr>
              <w:tabs>
                <w:tab w:val="left" w:pos="1698"/>
              </w:tabs>
              <w:spacing w:before="60"/>
              <w:jc w:val="both"/>
              <w:rPr>
                <w:rFonts w:eastAsia="Calibri" w:cstheme="minorHAnsi"/>
                <w:i/>
                <w:iCs/>
                <w:color w:val="002060"/>
                <w:sz w:val="24"/>
                <w:szCs w:val="24"/>
              </w:rPr>
            </w:pPr>
            <w:r w:rsidRPr="005B5922">
              <w:rPr>
                <w:rFonts w:cstheme="minorHAnsi"/>
                <w:color w:val="002060"/>
                <w:sz w:val="24"/>
                <w:szCs w:val="24"/>
              </w:rPr>
              <w:lastRenderedPageBreak/>
              <w:t xml:space="preserve">Intervențiile în unități mobile din PNRR pentru intervenții de screening în domeniul cancerului de col uterin și cancer mamar sunt complementare </w:t>
            </w:r>
            <w:r w:rsidR="00534F11" w:rsidRPr="005B5922">
              <w:rPr>
                <w:rFonts w:cstheme="minorHAnsi"/>
                <w:color w:val="002060"/>
                <w:sz w:val="24"/>
                <w:szCs w:val="24"/>
              </w:rPr>
              <w:t>măsurilor</w:t>
            </w:r>
            <w:r w:rsidRPr="005B5922">
              <w:rPr>
                <w:rFonts w:cstheme="minorHAnsi"/>
                <w:color w:val="002060"/>
                <w:sz w:val="24"/>
                <w:szCs w:val="24"/>
              </w:rPr>
              <w:t xml:space="preserve"> de tip FSE+ din </w:t>
            </w:r>
            <w:r w:rsidR="005B5922" w:rsidRPr="005B5922">
              <w:rPr>
                <w:rFonts w:cstheme="minorHAnsi"/>
                <w:color w:val="002060"/>
                <w:sz w:val="24"/>
                <w:szCs w:val="24"/>
              </w:rPr>
              <w:t>PS</w:t>
            </w:r>
            <w:r w:rsidRPr="005B5922">
              <w:rPr>
                <w:rFonts w:cstheme="minorHAnsi"/>
                <w:color w:val="002060"/>
                <w:sz w:val="24"/>
                <w:szCs w:val="24"/>
              </w:rPr>
              <w:t xml:space="preserve"> Prioritatea 1 care sunt menite </w:t>
            </w:r>
            <w:r w:rsidR="009E292B" w:rsidRPr="005B5922">
              <w:rPr>
                <w:rFonts w:cstheme="minorHAnsi"/>
                <w:color w:val="002060"/>
                <w:sz w:val="24"/>
                <w:szCs w:val="24"/>
              </w:rPr>
              <w:t xml:space="preserve">a asigura </w:t>
            </w:r>
            <w:r w:rsidR="009E292B" w:rsidRPr="005B5922">
              <w:rPr>
                <w:rFonts w:cstheme="minorHAnsi"/>
                <w:b/>
                <w:bCs/>
                <w:color w:val="002060"/>
                <w:sz w:val="24"/>
                <w:szCs w:val="24"/>
              </w:rPr>
              <w:t>controlul calității programelor</w:t>
            </w:r>
            <w:r w:rsidR="009E292B" w:rsidRPr="005B5922">
              <w:rPr>
                <w:rFonts w:cstheme="minorHAnsi"/>
                <w:color w:val="002060"/>
                <w:sz w:val="24"/>
                <w:szCs w:val="24"/>
              </w:rPr>
              <w:t xml:space="preserve"> (ex: </w:t>
            </w:r>
            <w:r w:rsidR="009E292B" w:rsidRPr="005B5922">
              <w:rPr>
                <w:rFonts w:cstheme="minorHAnsi"/>
                <w:i/>
                <w:iCs/>
                <w:color w:val="002060"/>
                <w:sz w:val="24"/>
                <w:szCs w:val="24"/>
              </w:rPr>
              <w:t>formarea personalului implicat în implementarea programului de screening, inclusiv servicii personale conexe și suport personal</w:t>
            </w:r>
            <w:r w:rsidR="009E292B" w:rsidRPr="005B5922">
              <w:rPr>
                <w:rFonts w:cstheme="minorHAnsi"/>
                <w:color w:val="002060"/>
                <w:sz w:val="24"/>
                <w:szCs w:val="24"/>
              </w:rPr>
              <w:t xml:space="preserve">; </w:t>
            </w:r>
            <w:r w:rsidRPr="005B5922">
              <w:rPr>
                <w:rFonts w:cstheme="minorHAnsi"/>
                <w:color w:val="002060"/>
                <w:sz w:val="24"/>
                <w:szCs w:val="24"/>
              </w:rPr>
              <w:t xml:space="preserve"> </w:t>
            </w:r>
            <w:r w:rsidR="009E292B" w:rsidRPr="005B5922">
              <w:rPr>
                <w:rFonts w:cstheme="minorHAnsi"/>
                <w:i/>
                <w:iCs/>
                <w:color w:val="002060"/>
                <w:sz w:val="24"/>
                <w:szCs w:val="24"/>
              </w:rPr>
              <w:t>dezvoltare/ actualizare/ suport în implementarea de ghiduri</w:t>
            </w:r>
            <w:r w:rsidR="009E292B" w:rsidRPr="005B5922">
              <w:rPr>
                <w:rFonts w:cstheme="minorHAnsi"/>
                <w:color w:val="002060"/>
                <w:sz w:val="24"/>
                <w:szCs w:val="24"/>
              </w:rPr>
              <w:t xml:space="preserve">/ </w:t>
            </w:r>
            <w:r w:rsidR="009E292B" w:rsidRPr="005B5922">
              <w:rPr>
                <w:rFonts w:cstheme="minorHAnsi"/>
                <w:i/>
                <w:iCs/>
                <w:color w:val="002060"/>
                <w:sz w:val="24"/>
                <w:szCs w:val="24"/>
              </w:rPr>
              <w:t xml:space="preserve">protocoale/standarde etc./ criterii certificare servicii; crearea de parteneriate/ rețele de centre de expertiză/ centre regionale de screening/ centru de referință, etc.), </w:t>
            </w:r>
            <w:r w:rsidR="009E292B" w:rsidRPr="005B5922">
              <w:rPr>
                <w:rFonts w:cstheme="minorHAnsi"/>
                <w:color w:val="002060"/>
                <w:sz w:val="24"/>
                <w:szCs w:val="24"/>
              </w:rPr>
              <w:t xml:space="preserve">cât și finanțarea implementării </w:t>
            </w:r>
            <w:r w:rsidR="009E292B" w:rsidRPr="005B5922">
              <w:rPr>
                <w:rFonts w:cstheme="minorHAnsi"/>
                <w:b/>
                <w:bCs/>
                <w:color w:val="002060"/>
                <w:sz w:val="24"/>
                <w:szCs w:val="24"/>
              </w:rPr>
              <w:t>programelor de screening dedicate persoanelor vulnerabile</w:t>
            </w:r>
            <w:r w:rsidR="009E292B" w:rsidRPr="005B5922">
              <w:rPr>
                <w:rFonts w:cstheme="minorHAnsi"/>
                <w:color w:val="002060"/>
                <w:sz w:val="24"/>
                <w:szCs w:val="24"/>
              </w:rPr>
              <w:t xml:space="preserve"> prin </w:t>
            </w:r>
            <w:r w:rsidR="009E292B" w:rsidRPr="005B5922">
              <w:rPr>
                <w:rFonts w:cstheme="minorHAnsi"/>
                <w:b/>
                <w:bCs/>
                <w:color w:val="002060"/>
                <w:sz w:val="24"/>
                <w:szCs w:val="24"/>
              </w:rPr>
              <w:t xml:space="preserve">finanțarea </w:t>
            </w:r>
            <w:r w:rsidR="004A4545" w:rsidRPr="005B5922">
              <w:rPr>
                <w:rFonts w:cstheme="minorHAnsi"/>
                <w:b/>
                <w:bCs/>
                <w:color w:val="002060"/>
                <w:sz w:val="24"/>
                <w:szCs w:val="24"/>
              </w:rPr>
              <w:t>furniz</w:t>
            </w:r>
            <w:r w:rsidR="00534F11" w:rsidRPr="005B5922">
              <w:rPr>
                <w:rFonts w:cstheme="minorHAnsi"/>
                <w:b/>
                <w:bCs/>
                <w:color w:val="002060"/>
                <w:sz w:val="24"/>
                <w:szCs w:val="24"/>
              </w:rPr>
              <w:t>ării de</w:t>
            </w:r>
            <w:r w:rsidR="004A4545" w:rsidRPr="005B5922">
              <w:rPr>
                <w:rFonts w:cstheme="minorHAnsi"/>
                <w:b/>
                <w:bCs/>
                <w:color w:val="002060"/>
                <w:sz w:val="24"/>
                <w:szCs w:val="24"/>
              </w:rPr>
              <w:t xml:space="preserve"> servicii</w:t>
            </w:r>
            <w:r w:rsidR="004A4545" w:rsidRPr="005B5922">
              <w:rPr>
                <w:rFonts w:cstheme="minorHAnsi"/>
                <w:color w:val="002060"/>
                <w:sz w:val="24"/>
                <w:szCs w:val="24"/>
              </w:rPr>
              <w:t xml:space="preserve"> de informare, consiliere, mobilizare, servicii medicale de testare în  screening, inclusiv proceduri minore (pentru persoane neasigurate) pentru înlăturarea riscului de dezvoltare a bolii, cât și </w:t>
            </w:r>
            <w:r w:rsidR="000E2A69" w:rsidRPr="005B5922">
              <w:rPr>
                <w:rFonts w:cstheme="minorHAnsi"/>
                <w:color w:val="002060"/>
                <w:sz w:val="24"/>
                <w:szCs w:val="24"/>
              </w:rPr>
              <w:t xml:space="preserve">măsuri de management și organizare program(e) de screening ex. </w:t>
            </w:r>
            <w:r w:rsidRPr="005B5922">
              <w:rPr>
                <w:rFonts w:cstheme="minorHAnsi"/>
                <w:color w:val="002060"/>
                <w:sz w:val="24"/>
                <w:szCs w:val="24"/>
              </w:rPr>
              <w:t xml:space="preserve"> </w:t>
            </w:r>
            <w:r w:rsidR="000E2A69" w:rsidRPr="005B5922">
              <w:rPr>
                <w:rFonts w:cstheme="minorHAnsi"/>
                <w:i/>
                <w:iCs/>
                <w:color w:val="002060"/>
                <w:sz w:val="24"/>
                <w:szCs w:val="24"/>
              </w:rPr>
              <w:t>activități logistică și organizare program; campanii și intervenții de informare, educare, conștientizare a populației din grupurile vulnerabile și a subgrupurilor dezavantajate; măsuri de sprijin și facilitare a accesului la servicii medicale specializate; monitorizare și evaluarea activităților: dezvoltarea/ mentenanța sistemelor de informații ale programelor de screening mecanism de finanța</w:t>
            </w:r>
            <w:r w:rsidR="00B555DC" w:rsidRPr="005B5922">
              <w:rPr>
                <w:rFonts w:cstheme="minorHAnsi"/>
                <w:i/>
                <w:iCs/>
                <w:color w:val="002060"/>
                <w:sz w:val="24"/>
                <w:szCs w:val="24"/>
              </w:rPr>
              <w:t>re</w:t>
            </w:r>
            <w:r w:rsidR="000E2A69" w:rsidRPr="005B5922">
              <w:rPr>
                <w:rFonts w:cstheme="minorHAnsi"/>
                <w:i/>
                <w:iCs/>
                <w:color w:val="002060"/>
                <w:sz w:val="24"/>
                <w:szCs w:val="24"/>
              </w:rPr>
              <w:t xml:space="preserve"> pentru  procedurile minore (în cazul persoanelor neasigurate) pentru înlăturarea riscului de dezvoltare a bolii).</w:t>
            </w:r>
          </w:p>
        </w:tc>
      </w:tr>
      <w:tr w:rsidR="005B5922" w:rsidRPr="005B5922" w14:paraId="56FA0906" w14:textId="77777777" w:rsidTr="00327292">
        <w:tc>
          <w:tcPr>
            <w:tcW w:w="501" w:type="pct"/>
            <w:gridSpan w:val="2"/>
          </w:tcPr>
          <w:p w14:paraId="4813D33C" w14:textId="3E3EF3FE" w:rsidR="00294363" w:rsidRPr="005B5922" w:rsidRDefault="009B6196" w:rsidP="00B172DA">
            <w:pPr>
              <w:spacing w:before="60"/>
              <w:jc w:val="both"/>
              <w:rPr>
                <w:rFonts w:cstheme="minorHAnsi"/>
                <w:color w:val="002060"/>
                <w:sz w:val="24"/>
                <w:szCs w:val="24"/>
                <w:lang w:eastAsia="en-GB"/>
              </w:rPr>
            </w:pPr>
            <w:r w:rsidRPr="005B5922">
              <w:rPr>
                <w:rFonts w:cstheme="minorHAnsi"/>
                <w:color w:val="002060"/>
                <w:sz w:val="24"/>
                <w:szCs w:val="24"/>
              </w:rPr>
              <w:t>Planificare familială</w:t>
            </w:r>
          </w:p>
        </w:tc>
        <w:tc>
          <w:tcPr>
            <w:tcW w:w="1176" w:type="pct"/>
          </w:tcPr>
          <w:p w14:paraId="218CAC7A" w14:textId="754C7A8D" w:rsidR="00534F11"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534F11" w:rsidRPr="005B5922">
              <w:rPr>
                <w:rFonts w:cstheme="minorHAnsi"/>
                <w:color w:val="002060"/>
                <w:sz w:val="24"/>
                <w:szCs w:val="24"/>
              </w:rPr>
              <w:t xml:space="preserve"> Prioritatea 1</w:t>
            </w:r>
          </w:p>
          <w:p w14:paraId="166D74B6" w14:textId="3BC00D96" w:rsidR="00294363" w:rsidRPr="005B5922" w:rsidRDefault="00294363" w:rsidP="00B172DA">
            <w:pPr>
              <w:spacing w:before="60"/>
              <w:jc w:val="both"/>
              <w:rPr>
                <w:rFonts w:cstheme="minorHAnsi"/>
                <w:color w:val="002060"/>
                <w:sz w:val="24"/>
                <w:szCs w:val="24"/>
              </w:rPr>
            </w:pPr>
            <w:r w:rsidRPr="005B5922">
              <w:rPr>
                <w:rFonts w:cstheme="minorHAnsi"/>
                <w:color w:val="002060"/>
                <w:sz w:val="24"/>
                <w:szCs w:val="24"/>
              </w:rPr>
              <w:t xml:space="preserve">FSE+ - </w:t>
            </w:r>
            <w:r w:rsidR="00534F11" w:rsidRPr="005B5922">
              <w:rPr>
                <w:rFonts w:cstheme="minorHAnsi"/>
                <w:color w:val="002060"/>
                <w:sz w:val="24"/>
                <w:szCs w:val="24"/>
              </w:rPr>
              <w:t>E. Implementarea de programe de sănătatea reproducerii pentru a crește accesibilitatea la aceste servicii a persoanelor vulnerabile</w:t>
            </w:r>
          </w:p>
        </w:tc>
        <w:tc>
          <w:tcPr>
            <w:tcW w:w="574" w:type="pct"/>
          </w:tcPr>
          <w:p w14:paraId="74E0128A" w14:textId="424BB7B9" w:rsidR="00845B51" w:rsidRPr="005B5922" w:rsidRDefault="004F73CC" w:rsidP="00B172DA">
            <w:pPr>
              <w:spacing w:before="60"/>
              <w:jc w:val="both"/>
              <w:rPr>
                <w:rFonts w:cstheme="minorHAnsi"/>
                <w:color w:val="002060"/>
                <w:sz w:val="24"/>
                <w:szCs w:val="24"/>
                <w:lang w:eastAsia="en-GB"/>
              </w:rPr>
            </w:pPr>
            <w:r w:rsidRPr="005B5922">
              <w:rPr>
                <w:rFonts w:cstheme="minorHAnsi"/>
                <w:color w:val="002060"/>
                <w:sz w:val="24"/>
                <w:szCs w:val="24"/>
              </w:rPr>
              <w:t>Investiția 1.5</w:t>
            </w:r>
            <w:r w:rsidRPr="005B5922">
              <w:rPr>
                <w:rFonts w:cstheme="minorHAnsi"/>
                <w:color w:val="002060"/>
                <w:sz w:val="24"/>
                <w:szCs w:val="24"/>
                <w:lang w:eastAsia="en-GB"/>
              </w:rPr>
              <w:t xml:space="preserve"> - </w:t>
            </w:r>
            <w:r w:rsidR="00845B51" w:rsidRPr="005B5922">
              <w:rPr>
                <w:rFonts w:cstheme="minorHAnsi"/>
                <w:color w:val="002060"/>
                <w:sz w:val="24"/>
                <w:szCs w:val="24"/>
              </w:rPr>
              <w:t>reabilitare și/sau dota</w:t>
            </w:r>
            <w:r w:rsidR="00A337BB" w:rsidRPr="005B5922">
              <w:rPr>
                <w:rFonts w:cstheme="minorHAnsi"/>
                <w:color w:val="002060"/>
                <w:sz w:val="24"/>
                <w:szCs w:val="24"/>
              </w:rPr>
              <w:t xml:space="preserve">rea a </w:t>
            </w:r>
            <w:r w:rsidR="00845B51" w:rsidRPr="005B5922">
              <w:rPr>
                <w:rFonts w:cstheme="minorHAnsi"/>
                <w:color w:val="002060"/>
                <w:sz w:val="24"/>
                <w:szCs w:val="24"/>
              </w:rPr>
              <w:t xml:space="preserve"> </w:t>
            </w:r>
            <w:r w:rsidR="00C6071E">
              <w:rPr>
                <w:rFonts w:cstheme="minorHAnsi"/>
                <w:color w:val="002060"/>
                <w:sz w:val="24"/>
                <w:szCs w:val="24"/>
              </w:rPr>
              <w:t>79</w:t>
            </w:r>
            <w:r w:rsidR="00C6071E" w:rsidRPr="005B5922">
              <w:rPr>
                <w:rFonts w:cstheme="minorHAnsi"/>
                <w:color w:val="002060"/>
                <w:sz w:val="24"/>
                <w:szCs w:val="24"/>
              </w:rPr>
              <w:t xml:space="preserve"> </w:t>
            </w:r>
            <w:r w:rsidR="00845B51" w:rsidRPr="005B5922">
              <w:rPr>
                <w:rFonts w:cstheme="minorHAnsi"/>
                <w:color w:val="002060"/>
                <w:sz w:val="24"/>
                <w:szCs w:val="24"/>
              </w:rPr>
              <w:t>cabinete de planificare familială existente</w:t>
            </w:r>
          </w:p>
          <w:p w14:paraId="4C416824" w14:textId="0E322A7B" w:rsidR="00294363" w:rsidRPr="005B5922" w:rsidRDefault="00294363" w:rsidP="00B172DA">
            <w:pPr>
              <w:spacing w:before="60"/>
              <w:jc w:val="both"/>
              <w:rPr>
                <w:rFonts w:cstheme="minorHAnsi"/>
                <w:color w:val="002060"/>
                <w:sz w:val="24"/>
                <w:szCs w:val="24"/>
              </w:rPr>
            </w:pPr>
          </w:p>
        </w:tc>
        <w:tc>
          <w:tcPr>
            <w:tcW w:w="2749" w:type="pct"/>
          </w:tcPr>
          <w:p w14:paraId="3EE2E878" w14:textId="7609BF3E" w:rsidR="00294363" w:rsidRPr="005B5922" w:rsidRDefault="00294363" w:rsidP="00B172DA">
            <w:pPr>
              <w:spacing w:before="60"/>
              <w:jc w:val="both"/>
              <w:rPr>
                <w:rFonts w:eastAsia="Calibri" w:cstheme="minorHAnsi"/>
                <w:color w:val="002060"/>
                <w:sz w:val="24"/>
                <w:szCs w:val="24"/>
              </w:rPr>
            </w:pPr>
            <w:r w:rsidRPr="005B5922">
              <w:rPr>
                <w:rFonts w:cstheme="minorHAnsi"/>
                <w:color w:val="002060"/>
                <w:sz w:val="24"/>
                <w:szCs w:val="24"/>
              </w:rPr>
              <w:t xml:space="preserve">Intervențiile </w:t>
            </w:r>
            <w:r w:rsidR="00534F11" w:rsidRPr="005B5922">
              <w:rPr>
                <w:rFonts w:cstheme="minorHAnsi"/>
                <w:color w:val="002060"/>
                <w:sz w:val="24"/>
                <w:szCs w:val="24"/>
              </w:rPr>
              <w:t xml:space="preserve">din PNRR </w:t>
            </w:r>
            <w:r w:rsidRPr="005B5922">
              <w:rPr>
                <w:rFonts w:cstheme="minorHAnsi"/>
                <w:color w:val="002060"/>
                <w:sz w:val="24"/>
                <w:szCs w:val="24"/>
              </w:rPr>
              <w:t>în infrastructur</w:t>
            </w:r>
            <w:r w:rsidR="00534F11" w:rsidRPr="005B5922">
              <w:rPr>
                <w:rFonts w:cstheme="minorHAnsi"/>
                <w:color w:val="002060"/>
                <w:sz w:val="24"/>
                <w:szCs w:val="24"/>
              </w:rPr>
              <w:t>a</w:t>
            </w:r>
            <w:r w:rsidRPr="005B5922">
              <w:rPr>
                <w:rFonts w:cstheme="minorHAnsi"/>
                <w:color w:val="002060"/>
                <w:sz w:val="24"/>
                <w:szCs w:val="24"/>
              </w:rPr>
              <w:t xml:space="preserve"> </w:t>
            </w:r>
            <w:r w:rsidRPr="005B5922">
              <w:rPr>
                <w:rFonts w:cstheme="minorHAnsi"/>
                <w:color w:val="002060"/>
                <w:sz w:val="24"/>
                <w:szCs w:val="24"/>
                <w:lang w:eastAsia="en-GB"/>
              </w:rPr>
              <w:t>cabinetel</w:t>
            </w:r>
            <w:r w:rsidR="00A337BB" w:rsidRPr="005B5922">
              <w:rPr>
                <w:rFonts w:cstheme="minorHAnsi"/>
                <w:color w:val="002060"/>
                <w:sz w:val="24"/>
                <w:szCs w:val="24"/>
                <w:lang w:eastAsia="en-GB"/>
              </w:rPr>
              <w:t>or</w:t>
            </w:r>
            <w:r w:rsidRPr="005B5922">
              <w:rPr>
                <w:rFonts w:cstheme="minorHAnsi"/>
                <w:color w:val="002060"/>
                <w:sz w:val="24"/>
                <w:szCs w:val="24"/>
                <w:lang w:eastAsia="en-GB"/>
              </w:rPr>
              <w:t xml:space="preserve"> de planificare familială</w:t>
            </w:r>
            <w:r w:rsidRPr="005B5922">
              <w:rPr>
                <w:rFonts w:cstheme="minorHAnsi"/>
                <w:color w:val="002060"/>
                <w:sz w:val="24"/>
                <w:szCs w:val="24"/>
              </w:rPr>
              <w:t xml:space="preserve"> </w:t>
            </w:r>
            <w:r w:rsidR="00534F11" w:rsidRPr="005B5922">
              <w:rPr>
                <w:rFonts w:cstheme="minorHAnsi"/>
                <w:color w:val="002060"/>
                <w:sz w:val="24"/>
                <w:szCs w:val="24"/>
              </w:rPr>
              <w:t>vor avea ca și măsuri</w:t>
            </w:r>
            <w:r w:rsidRPr="005B5922">
              <w:rPr>
                <w:rFonts w:cstheme="minorHAnsi"/>
                <w:color w:val="002060"/>
                <w:sz w:val="24"/>
                <w:szCs w:val="24"/>
              </w:rPr>
              <w:t xml:space="preserve"> complementare investițiil</w:t>
            </w:r>
            <w:r w:rsidR="00534F11" w:rsidRPr="005B5922">
              <w:rPr>
                <w:rFonts w:cstheme="minorHAnsi"/>
                <w:color w:val="002060"/>
                <w:sz w:val="24"/>
                <w:szCs w:val="24"/>
              </w:rPr>
              <w:t>e</w:t>
            </w:r>
            <w:r w:rsidRPr="005B5922">
              <w:rPr>
                <w:rFonts w:cstheme="minorHAnsi"/>
                <w:color w:val="002060"/>
                <w:sz w:val="24"/>
                <w:szCs w:val="24"/>
              </w:rPr>
              <w:t xml:space="preserve"> de tip FSE+ din </w:t>
            </w:r>
            <w:r w:rsidR="005B5922" w:rsidRPr="005B5922">
              <w:rPr>
                <w:rFonts w:cstheme="minorHAnsi"/>
                <w:color w:val="002060"/>
                <w:sz w:val="24"/>
                <w:szCs w:val="24"/>
              </w:rPr>
              <w:t>PS</w:t>
            </w:r>
            <w:r w:rsidRPr="005B5922">
              <w:rPr>
                <w:rFonts w:cstheme="minorHAnsi"/>
                <w:color w:val="002060"/>
                <w:sz w:val="24"/>
                <w:szCs w:val="24"/>
              </w:rPr>
              <w:t xml:space="preserve"> Prioritatea 1 care vizează implementarea de programe de sănătatea reproducerii și care sunt menite a crește accesibilitatea la aceste servicii a persoanelor vulnerabile prin: </w:t>
            </w:r>
            <w:r w:rsidRPr="005B5922">
              <w:rPr>
                <w:rFonts w:cstheme="minorHAnsi"/>
                <w:b/>
                <w:bCs/>
                <w:color w:val="002060"/>
                <w:sz w:val="24"/>
                <w:szCs w:val="24"/>
              </w:rPr>
              <w:t>dezvoltarea de mecanisme</w:t>
            </w:r>
            <w:r w:rsidRPr="005B5922">
              <w:rPr>
                <w:rFonts w:cstheme="minorHAnsi"/>
                <w:color w:val="002060"/>
                <w:sz w:val="24"/>
                <w:szCs w:val="24"/>
              </w:rPr>
              <w:t xml:space="preserve"> în domeniul sănătății</w:t>
            </w:r>
            <w:r w:rsidR="00A337BB" w:rsidRPr="005B5922">
              <w:rPr>
                <w:rFonts w:cstheme="minorHAnsi"/>
                <w:color w:val="002060"/>
                <w:sz w:val="24"/>
                <w:szCs w:val="24"/>
              </w:rPr>
              <w:t xml:space="preserve"> </w:t>
            </w:r>
            <w:r w:rsidRPr="005B5922">
              <w:rPr>
                <w:rFonts w:cstheme="minorHAnsi"/>
                <w:color w:val="002060"/>
                <w:sz w:val="24"/>
                <w:szCs w:val="24"/>
              </w:rPr>
              <w:t xml:space="preserve">reproducerii (ex.  </w:t>
            </w:r>
            <w:r w:rsidR="00EC3516" w:rsidRPr="005B5922">
              <w:rPr>
                <w:rFonts w:cstheme="minorHAnsi"/>
                <w:i/>
                <w:iCs/>
                <w:color w:val="002060"/>
                <w:sz w:val="24"/>
                <w:szCs w:val="24"/>
              </w:rPr>
              <w:t>protocoale, ghiduri și modele de practică etc)</w:t>
            </w:r>
            <w:r w:rsidRPr="005B5922">
              <w:rPr>
                <w:rFonts w:cstheme="minorHAnsi"/>
                <w:color w:val="002060"/>
                <w:sz w:val="24"/>
                <w:szCs w:val="24"/>
              </w:rPr>
              <w:t xml:space="preserve"> </w:t>
            </w:r>
            <w:r w:rsidR="00EC3516" w:rsidRPr="005B5922">
              <w:rPr>
                <w:rFonts w:cstheme="minorHAnsi"/>
                <w:color w:val="002060"/>
                <w:sz w:val="24"/>
                <w:szCs w:val="24"/>
              </w:rPr>
              <w:t xml:space="preserve"> și </w:t>
            </w:r>
            <w:r w:rsidR="00EC3516" w:rsidRPr="005B5922">
              <w:rPr>
                <w:rFonts w:cstheme="minorHAnsi"/>
                <w:b/>
                <w:bCs/>
                <w:color w:val="002060"/>
                <w:sz w:val="24"/>
                <w:szCs w:val="24"/>
              </w:rPr>
              <w:t>formarea personalului</w:t>
            </w:r>
            <w:r w:rsidR="00EC3516" w:rsidRPr="005B5922">
              <w:rPr>
                <w:rFonts w:cstheme="minorHAnsi"/>
                <w:color w:val="002060"/>
                <w:sz w:val="24"/>
                <w:szCs w:val="24"/>
              </w:rPr>
              <w:t xml:space="preserve"> care sunt menite să contribuie la dezvoltarea unui program sustenabil de planificare familială și de sănătatea reproducerii. De asemenea, prin </w:t>
            </w:r>
            <w:r w:rsidR="005B5922" w:rsidRPr="005B5922">
              <w:rPr>
                <w:rFonts w:cstheme="minorHAnsi"/>
                <w:color w:val="002060"/>
                <w:sz w:val="24"/>
                <w:szCs w:val="24"/>
              </w:rPr>
              <w:t>PS</w:t>
            </w:r>
            <w:r w:rsidR="00EC3516" w:rsidRPr="005B5922">
              <w:rPr>
                <w:rFonts w:cstheme="minorHAnsi"/>
                <w:color w:val="002060"/>
                <w:sz w:val="24"/>
                <w:szCs w:val="24"/>
              </w:rPr>
              <w:t xml:space="preserve"> FSE+ se urmărește creșterea capacității de a furniza servicii de sănătatea reproducerii, cu accent particular pe cabinetele de planificare familială reabilitate și dotate prin PNRR până la preluarea completă și consolidată în sistemul de îngrijiri prin finanțarea costurilor operaționale ale serviciilor.</w:t>
            </w:r>
          </w:p>
          <w:p w14:paraId="52E88D0A" w14:textId="77777777" w:rsidR="00A337BB" w:rsidRPr="005B5922" w:rsidRDefault="00A337BB" w:rsidP="00B172DA">
            <w:pPr>
              <w:spacing w:before="60"/>
              <w:jc w:val="both"/>
              <w:rPr>
                <w:rFonts w:cstheme="minorHAnsi"/>
                <w:color w:val="002060"/>
                <w:sz w:val="24"/>
                <w:szCs w:val="24"/>
              </w:rPr>
            </w:pPr>
          </w:p>
          <w:p w14:paraId="3B9B7C3D" w14:textId="06A59069" w:rsidR="00294363" w:rsidRPr="005B5922" w:rsidRDefault="00845B51" w:rsidP="00B172DA">
            <w:pPr>
              <w:spacing w:before="60"/>
              <w:jc w:val="both"/>
              <w:rPr>
                <w:rFonts w:cstheme="minorHAnsi"/>
                <w:color w:val="002060"/>
                <w:sz w:val="24"/>
                <w:szCs w:val="24"/>
                <w:lang w:eastAsia="en-GB"/>
              </w:rPr>
            </w:pPr>
            <w:r w:rsidRPr="005B5922">
              <w:rPr>
                <w:rFonts w:cstheme="minorHAnsi"/>
                <w:color w:val="002060"/>
                <w:sz w:val="24"/>
                <w:szCs w:val="24"/>
              </w:rPr>
              <w:t xml:space="preserve">Prin PNRR cele </w:t>
            </w:r>
            <w:r w:rsidR="00C6071E">
              <w:rPr>
                <w:rFonts w:cstheme="minorHAnsi"/>
                <w:color w:val="002060"/>
                <w:sz w:val="24"/>
                <w:szCs w:val="24"/>
              </w:rPr>
              <w:t>79</w:t>
            </w:r>
            <w:r w:rsidR="00C6071E" w:rsidRPr="005B5922">
              <w:rPr>
                <w:rFonts w:cstheme="minorHAnsi"/>
                <w:color w:val="002060"/>
                <w:sz w:val="24"/>
                <w:szCs w:val="24"/>
              </w:rPr>
              <w:t xml:space="preserve"> </w:t>
            </w:r>
            <w:r w:rsidRPr="005B5922">
              <w:rPr>
                <w:rFonts w:cstheme="minorHAnsi"/>
                <w:color w:val="002060"/>
                <w:sz w:val="24"/>
                <w:szCs w:val="24"/>
              </w:rPr>
              <w:t xml:space="preserve">de cabinete de planificare familială existente vor suferi, dacă este cazul, intervenții de reabilitare și reamenajare și vor primi dotări de aparatură medicală de laborator și imagistică (dispozitive de tip </w:t>
            </w:r>
            <w:proofErr w:type="spellStart"/>
            <w:r w:rsidRPr="005B5922">
              <w:rPr>
                <w:rFonts w:cstheme="minorHAnsi"/>
                <w:color w:val="002060"/>
                <w:sz w:val="24"/>
                <w:szCs w:val="24"/>
              </w:rPr>
              <w:t>point</w:t>
            </w:r>
            <w:proofErr w:type="spellEnd"/>
            <w:r w:rsidRPr="005B5922">
              <w:rPr>
                <w:rFonts w:cstheme="minorHAnsi"/>
                <w:color w:val="002060"/>
                <w:sz w:val="24"/>
                <w:szCs w:val="24"/>
              </w:rPr>
              <w:t xml:space="preserve">-of-care plus analizor pentru detecția infecțiilor cu transmitere sexuală, ecograf cu ultrasunete echipate cu sonde ginecologice </w:t>
            </w:r>
            <w:proofErr w:type="spellStart"/>
            <w:r w:rsidRPr="005B5922">
              <w:rPr>
                <w:rFonts w:cstheme="minorHAnsi"/>
                <w:color w:val="002060"/>
                <w:sz w:val="24"/>
                <w:szCs w:val="24"/>
              </w:rPr>
              <w:t>ultraportabile</w:t>
            </w:r>
            <w:proofErr w:type="spellEnd"/>
            <w:r w:rsidRPr="005B5922">
              <w:rPr>
                <w:rFonts w:cstheme="minorHAnsi"/>
                <w:color w:val="002060"/>
                <w:sz w:val="24"/>
                <w:szCs w:val="24"/>
              </w:rPr>
              <w:t>, microscop, echipamente IT, frigider, mijloace de transport - mașini electrice sau biciclete).</w:t>
            </w:r>
          </w:p>
        </w:tc>
      </w:tr>
      <w:tr w:rsidR="005B5922" w:rsidRPr="005B5922" w14:paraId="5744BA0D" w14:textId="77777777" w:rsidTr="00327292">
        <w:tc>
          <w:tcPr>
            <w:tcW w:w="501" w:type="pct"/>
            <w:gridSpan w:val="2"/>
          </w:tcPr>
          <w:p w14:paraId="39029B08" w14:textId="0C672C4F" w:rsidR="001D57B5" w:rsidRPr="00152984" w:rsidRDefault="009B6196" w:rsidP="00B172DA">
            <w:pPr>
              <w:spacing w:before="60"/>
              <w:jc w:val="both"/>
              <w:rPr>
                <w:rFonts w:cstheme="minorHAnsi"/>
                <w:color w:val="002060"/>
                <w:sz w:val="24"/>
                <w:szCs w:val="24"/>
                <w:lang w:eastAsia="en-GB"/>
              </w:rPr>
            </w:pPr>
            <w:r w:rsidRPr="00152984">
              <w:rPr>
                <w:rFonts w:cstheme="minorHAnsi"/>
                <w:color w:val="002060"/>
                <w:sz w:val="24"/>
                <w:szCs w:val="24"/>
                <w:lang w:eastAsia="en-GB"/>
              </w:rPr>
              <w:t>Infrastructura spitalicească publică nouă</w:t>
            </w:r>
          </w:p>
        </w:tc>
        <w:tc>
          <w:tcPr>
            <w:tcW w:w="1176" w:type="pct"/>
          </w:tcPr>
          <w:p w14:paraId="7736ED67" w14:textId="229122C4" w:rsidR="003D7476" w:rsidRPr="00152984" w:rsidRDefault="005B5922" w:rsidP="00B172DA">
            <w:pPr>
              <w:spacing w:before="60"/>
              <w:jc w:val="both"/>
              <w:rPr>
                <w:rFonts w:cstheme="minorHAnsi"/>
                <w:color w:val="002060"/>
                <w:sz w:val="24"/>
                <w:szCs w:val="24"/>
              </w:rPr>
            </w:pPr>
            <w:r w:rsidRPr="00152984">
              <w:rPr>
                <w:rFonts w:cstheme="minorHAnsi"/>
                <w:color w:val="002060"/>
                <w:sz w:val="24"/>
                <w:szCs w:val="24"/>
              </w:rPr>
              <w:t>PS</w:t>
            </w:r>
            <w:r w:rsidR="003D7476" w:rsidRPr="00152984">
              <w:rPr>
                <w:rFonts w:cstheme="minorHAnsi"/>
                <w:color w:val="002060"/>
                <w:sz w:val="24"/>
                <w:szCs w:val="24"/>
              </w:rPr>
              <w:t xml:space="preserve"> FEDR</w:t>
            </w:r>
          </w:p>
          <w:p w14:paraId="2894EDC6" w14:textId="6645E5D3" w:rsidR="00522EB1" w:rsidRPr="00152984" w:rsidRDefault="00522EB1" w:rsidP="00B172DA">
            <w:pPr>
              <w:pStyle w:val="ListParagraph"/>
              <w:numPr>
                <w:ilvl w:val="0"/>
                <w:numId w:val="24"/>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Prioritatea 2</w:t>
            </w:r>
            <w:r w:rsidR="003D7476" w:rsidRPr="00152984">
              <w:rPr>
                <w:rFonts w:asciiTheme="minorHAnsi" w:hAnsiTheme="minorHAnsi" w:cstheme="minorHAnsi"/>
                <w:color w:val="002060"/>
                <w:sz w:val="24"/>
                <w:szCs w:val="24"/>
                <w:lang w:val="ro-RO"/>
              </w:rPr>
              <w:t xml:space="preserve">: </w:t>
            </w:r>
            <w:proofErr w:type="spellStart"/>
            <w:r w:rsidR="003D7476" w:rsidRPr="00152984">
              <w:rPr>
                <w:rFonts w:asciiTheme="minorHAnsi" w:hAnsiTheme="minorHAnsi" w:cstheme="minorHAnsi"/>
                <w:color w:val="002060"/>
                <w:sz w:val="24"/>
                <w:szCs w:val="24"/>
                <w:lang w:val="ro-RO"/>
              </w:rPr>
              <w:t>paliatie</w:t>
            </w:r>
            <w:proofErr w:type="spellEnd"/>
            <w:r w:rsidR="003D7476" w:rsidRPr="00152984">
              <w:rPr>
                <w:rFonts w:asciiTheme="minorHAnsi" w:hAnsiTheme="minorHAnsi" w:cstheme="minorHAnsi"/>
                <w:color w:val="002060"/>
                <w:sz w:val="24"/>
                <w:szCs w:val="24"/>
                <w:lang w:val="ro-RO"/>
              </w:rPr>
              <w:t xml:space="preserve">, măsuri de tip FEDR, inclusiv   </w:t>
            </w:r>
            <w:r w:rsidR="002E7D93" w:rsidRPr="00152984">
              <w:rPr>
                <w:rFonts w:asciiTheme="minorHAnsi" w:hAnsiTheme="minorHAnsi" w:cstheme="minorHAnsi"/>
                <w:color w:val="002060"/>
                <w:sz w:val="24"/>
                <w:szCs w:val="24"/>
                <w:lang w:val="ro-RO"/>
              </w:rPr>
              <w:t>construcți</w:t>
            </w:r>
            <w:r w:rsidR="003D7476" w:rsidRPr="00152984">
              <w:rPr>
                <w:rFonts w:asciiTheme="minorHAnsi" w:hAnsiTheme="minorHAnsi" w:cstheme="minorHAnsi"/>
                <w:color w:val="002060"/>
                <w:sz w:val="24"/>
                <w:szCs w:val="24"/>
                <w:lang w:val="ro-RO"/>
              </w:rPr>
              <w:t>i noi</w:t>
            </w:r>
          </w:p>
          <w:p w14:paraId="394EDE5C" w14:textId="61C74798" w:rsidR="00522EB1" w:rsidRPr="00152984" w:rsidRDefault="00522EB1" w:rsidP="00B172DA">
            <w:pPr>
              <w:pStyle w:val="ListParagraph"/>
              <w:numPr>
                <w:ilvl w:val="0"/>
                <w:numId w:val="24"/>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Prioritatea 4</w:t>
            </w:r>
            <w:r w:rsidR="003D7476" w:rsidRPr="00152984">
              <w:rPr>
                <w:rFonts w:asciiTheme="minorHAnsi" w:hAnsiTheme="minorHAnsi" w:cstheme="minorHAnsi"/>
                <w:color w:val="002060"/>
                <w:sz w:val="24"/>
                <w:szCs w:val="24"/>
                <w:lang w:val="ro-RO"/>
              </w:rPr>
              <w:t xml:space="preserve">: construcție 3 </w:t>
            </w:r>
            <w:r w:rsidRPr="00152984">
              <w:rPr>
                <w:rFonts w:asciiTheme="minorHAnsi" w:hAnsiTheme="minorHAnsi" w:cstheme="minorHAnsi"/>
                <w:color w:val="002060"/>
                <w:sz w:val="24"/>
                <w:szCs w:val="24"/>
                <w:lang w:val="ro-RO"/>
              </w:rPr>
              <w:t>spitale regionale</w:t>
            </w:r>
            <w:r w:rsidR="003D7476" w:rsidRPr="00152984">
              <w:rPr>
                <w:rFonts w:asciiTheme="minorHAnsi" w:hAnsiTheme="minorHAnsi" w:cstheme="minorHAnsi"/>
                <w:color w:val="002060"/>
                <w:sz w:val="24"/>
                <w:szCs w:val="24"/>
                <w:lang w:val="ro-RO"/>
              </w:rPr>
              <w:t xml:space="preserve"> de urgență</w:t>
            </w:r>
          </w:p>
          <w:p w14:paraId="38D5C542" w14:textId="608705F1" w:rsidR="009B6196" w:rsidRPr="00152984" w:rsidRDefault="009B6196" w:rsidP="00B172DA">
            <w:pPr>
              <w:pStyle w:val="ListParagraph"/>
              <w:numPr>
                <w:ilvl w:val="0"/>
                <w:numId w:val="24"/>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P</w:t>
            </w:r>
            <w:r w:rsidR="002B6F22" w:rsidRPr="00152984">
              <w:rPr>
                <w:rFonts w:asciiTheme="minorHAnsi" w:hAnsiTheme="minorHAnsi" w:cstheme="minorHAnsi"/>
                <w:color w:val="002060"/>
                <w:sz w:val="24"/>
                <w:szCs w:val="24"/>
                <w:lang w:val="ro-RO"/>
              </w:rPr>
              <w:t>rioritatea</w:t>
            </w:r>
            <w:r w:rsidR="00522EB1" w:rsidRPr="00152984">
              <w:rPr>
                <w:rFonts w:asciiTheme="minorHAnsi" w:hAnsiTheme="minorHAnsi" w:cstheme="minorHAnsi"/>
                <w:color w:val="002060"/>
                <w:sz w:val="24"/>
                <w:szCs w:val="24"/>
                <w:lang w:val="ro-RO"/>
              </w:rPr>
              <w:t xml:space="preserve"> 7</w:t>
            </w:r>
            <w:r w:rsidR="003D7476" w:rsidRPr="00152984">
              <w:rPr>
                <w:rFonts w:asciiTheme="minorHAnsi" w:hAnsiTheme="minorHAnsi" w:cstheme="minorHAnsi"/>
                <w:color w:val="002060"/>
                <w:sz w:val="24"/>
                <w:szCs w:val="24"/>
                <w:lang w:val="ro-RO"/>
              </w:rPr>
              <w:t xml:space="preserve">: </w:t>
            </w:r>
            <w:r w:rsidR="00522EB1" w:rsidRPr="00152984">
              <w:rPr>
                <w:rFonts w:asciiTheme="minorHAnsi" w:hAnsiTheme="minorHAnsi" w:cstheme="minorHAnsi"/>
                <w:color w:val="002060"/>
                <w:sz w:val="24"/>
                <w:szCs w:val="24"/>
                <w:lang w:val="ro-RO"/>
              </w:rPr>
              <w:t>s</w:t>
            </w:r>
            <w:r w:rsidRPr="00152984">
              <w:rPr>
                <w:rFonts w:asciiTheme="minorHAnsi" w:hAnsiTheme="minorHAnsi" w:cstheme="minorHAnsi"/>
                <w:color w:val="002060"/>
                <w:sz w:val="24"/>
                <w:szCs w:val="24"/>
                <w:lang w:val="ro-RO"/>
              </w:rPr>
              <w:t>p</w:t>
            </w:r>
            <w:r w:rsidR="002B6F22" w:rsidRPr="00152984">
              <w:rPr>
                <w:rFonts w:asciiTheme="minorHAnsi" w:hAnsiTheme="minorHAnsi" w:cstheme="minorHAnsi"/>
                <w:color w:val="002060"/>
                <w:sz w:val="24"/>
                <w:szCs w:val="24"/>
                <w:lang w:val="ro-RO"/>
              </w:rPr>
              <w:t xml:space="preserve">itale </w:t>
            </w:r>
            <w:r w:rsidRPr="00152984">
              <w:rPr>
                <w:rFonts w:asciiTheme="minorHAnsi" w:hAnsiTheme="minorHAnsi" w:cstheme="minorHAnsi"/>
                <w:color w:val="002060"/>
                <w:sz w:val="24"/>
                <w:szCs w:val="24"/>
                <w:lang w:val="ro-RO"/>
              </w:rPr>
              <w:t xml:space="preserve"> cu im</w:t>
            </w:r>
            <w:r w:rsidR="002B6F22" w:rsidRPr="00152984">
              <w:rPr>
                <w:rFonts w:asciiTheme="minorHAnsi" w:hAnsiTheme="minorHAnsi" w:cstheme="minorHAnsi"/>
                <w:color w:val="002060"/>
                <w:sz w:val="24"/>
                <w:szCs w:val="24"/>
                <w:lang w:val="ro-RO"/>
              </w:rPr>
              <w:t>p</w:t>
            </w:r>
            <w:r w:rsidRPr="00152984">
              <w:rPr>
                <w:rFonts w:asciiTheme="minorHAnsi" w:hAnsiTheme="minorHAnsi" w:cstheme="minorHAnsi"/>
                <w:color w:val="002060"/>
                <w:sz w:val="24"/>
                <w:szCs w:val="24"/>
                <w:lang w:val="ro-RO"/>
              </w:rPr>
              <w:t>act ter</w:t>
            </w:r>
            <w:r w:rsidR="002B6F22" w:rsidRPr="00152984">
              <w:rPr>
                <w:rFonts w:asciiTheme="minorHAnsi" w:hAnsiTheme="minorHAnsi" w:cstheme="minorHAnsi"/>
                <w:color w:val="002060"/>
                <w:sz w:val="24"/>
                <w:szCs w:val="24"/>
                <w:lang w:val="ro-RO"/>
              </w:rPr>
              <w:t>itorial</w:t>
            </w:r>
            <w:r w:rsidRPr="00152984">
              <w:rPr>
                <w:rFonts w:asciiTheme="minorHAnsi" w:hAnsiTheme="minorHAnsi" w:cstheme="minorHAnsi"/>
                <w:color w:val="002060"/>
                <w:sz w:val="24"/>
                <w:szCs w:val="24"/>
                <w:lang w:val="ro-RO"/>
              </w:rPr>
              <w:t xml:space="preserve"> major</w:t>
            </w:r>
          </w:p>
          <w:p w14:paraId="5DA0887C" w14:textId="063EF8A7" w:rsidR="009B6196" w:rsidRPr="00152984" w:rsidRDefault="009B6196" w:rsidP="00B172DA">
            <w:pPr>
              <w:spacing w:before="60"/>
              <w:jc w:val="both"/>
              <w:rPr>
                <w:rFonts w:cstheme="minorHAnsi"/>
                <w:color w:val="002060"/>
                <w:sz w:val="24"/>
                <w:szCs w:val="24"/>
              </w:rPr>
            </w:pPr>
          </w:p>
        </w:tc>
        <w:tc>
          <w:tcPr>
            <w:tcW w:w="574" w:type="pct"/>
          </w:tcPr>
          <w:p w14:paraId="6A3DB37A" w14:textId="0DF612EE" w:rsidR="001D57B5" w:rsidRPr="00152984" w:rsidRDefault="001D57B5" w:rsidP="00B172DA">
            <w:pPr>
              <w:spacing w:before="60"/>
              <w:jc w:val="both"/>
              <w:rPr>
                <w:rFonts w:cstheme="minorHAnsi"/>
                <w:color w:val="002060"/>
                <w:sz w:val="24"/>
                <w:szCs w:val="24"/>
              </w:rPr>
            </w:pPr>
            <w:r w:rsidRPr="00152984">
              <w:rPr>
                <w:rFonts w:cstheme="minorHAnsi"/>
                <w:color w:val="002060"/>
                <w:sz w:val="24"/>
                <w:szCs w:val="24"/>
              </w:rPr>
              <w:t>Componenta 12 Investiția 2.1</w:t>
            </w:r>
            <w:r w:rsidR="003D7476" w:rsidRPr="00152984">
              <w:rPr>
                <w:rFonts w:cstheme="minorHAnsi"/>
                <w:color w:val="002060"/>
                <w:sz w:val="24"/>
                <w:szCs w:val="24"/>
              </w:rPr>
              <w:t>.:</w:t>
            </w:r>
            <w:r w:rsidR="00B555DC" w:rsidRPr="00152984">
              <w:rPr>
                <w:rFonts w:cstheme="minorHAnsi"/>
                <w:color w:val="002060"/>
                <w:sz w:val="24"/>
                <w:szCs w:val="24"/>
              </w:rPr>
              <w:t xml:space="preserve"> </w:t>
            </w:r>
            <w:r w:rsidR="00B555DC" w:rsidRPr="00152984">
              <w:rPr>
                <w:rFonts w:cstheme="minorHAnsi"/>
                <w:color w:val="002060"/>
                <w:sz w:val="24"/>
                <w:szCs w:val="24"/>
                <w:lang w:eastAsia="en-GB"/>
              </w:rPr>
              <w:t xml:space="preserve">Infrastructură </w:t>
            </w:r>
            <w:proofErr w:type="spellStart"/>
            <w:r w:rsidR="00B555DC" w:rsidRPr="00152984">
              <w:rPr>
                <w:rFonts w:cstheme="minorHAnsi"/>
                <w:color w:val="002060"/>
                <w:sz w:val="24"/>
                <w:szCs w:val="24"/>
                <w:lang w:eastAsia="en-GB"/>
              </w:rPr>
              <w:t>spitaliceasca</w:t>
            </w:r>
            <w:r w:rsidR="009F2735" w:rsidRPr="00152984">
              <w:rPr>
                <w:rFonts w:cstheme="minorHAnsi"/>
                <w:color w:val="002060"/>
                <w:sz w:val="24"/>
                <w:szCs w:val="24"/>
                <w:lang w:eastAsia="en-GB"/>
              </w:rPr>
              <w:t>ă</w:t>
            </w:r>
            <w:proofErr w:type="spellEnd"/>
            <w:r w:rsidR="009F2735" w:rsidRPr="00152984">
              <w:rPr>
                <w:rFonts w:cstheme="minorHAnsi"/>
                <w:color w:val="002060"/>
                <w:sz w:val="24"/>
                <w:szCs w:val="24"/>
                <w:lang w:eastAsia="en-GB"/>
              </w:rPr>
              <w:t xml:space="preserve"> </w:t>
            </w:r>
            <w:r w:rsidR="00B555DC" w:rsidRPr="00152984">
              <w:rPr>
                <w:rFonts w:cstheme="minorHAnsi"/>
                <w:color w:val="002060"/>
                <w:sz w:val="24"/>
                <w:szCs w:val="24"/>
                <w:lang w:eastAsia="en-GB"/>
              </w:rPr>
              <w:t>public</w:t>
            </w:r>
            <w:r w:rsidR="009F2735" w:rsidRPr="00152984">
              <w:rPr>
                <w:rFonts w:cstheme="minorHAnsi"/>
                <w:color w:val="002060"/>
                <w:sz w:val="24"/>
                <w:szCs w:val="24"/>
                <w:lang w:eastAsia="en-GB"/>
              </w:rPr>
              <w:t>ă</w:t>
            </w:r>
            <w:r w:rsidR="00B555DC" w:rsidRPr="00152984">
              <w:rPr>
                <w:rFonts w:cstheme="minorHAnsi"/>
                <w:color w:val="002060"/>
                <w:sz w:val="24"/>
                <w:szCs w:val="24"/>
                <w:lang w:eastAsia="en-GB"/>
              </w:rPr>
              <w:t xml:space="preserve"> nouă</w:t>
            </w:r>
          </w:p>
        </w:tc>
        <w:tc>
          <w:tcPr>
            <w:tcW w:w="2749" w:type="pct"/>
          </w:tcPr>
          <w:p w14:paraId="68FE8018" w14:textId="6AE6EF8D" w:rsidR="009F2735" w:rsidRPr="00152984" w:rsidRDefault="009F2735" w:rsidP="00B172DA">
            <w:pPr>
              <w:spacing w:before="60"/>
              <w:jc w:val="both"/>
              <w:rPr>
                <w:rFonts w:cstheme="minorHAnsi"/>
                <w:color w:val="002060"/>
                <w:sz w:val="24"/>
                <w:szCs w:val="24"/>
                <w:lang w:eastAsia="en-GB"/>
              </w:rPr>
            </w:pPr>
            <w:r w:rsidRPr="00152984">
              <w:rPr>
                <w:rFonts w:cstheme="minorHAnsi"/>
                <w:color w:val="002060"/>
                <w:sz w:val="24"/>
                <w:szCs w:val="24"/>
                <w:lang w:eastAsia="en-GB"/>
              </w:rPr>
              <w:t xml:space="preserve">Prin PO Sănătate sunt prevăzute investiții în </w:t>
            </w:r>
            <w:r w:rsidR="00BD5A3A" w:rsidRPr="00152984">
              <w:rPr>
                <w:rFonts w:cstheme="minorHAnsi"/>
                <w:color w:val="002060"/>
                <w:sz w:val="24"/>
                <w:szCs w:val="24"/>
                <w:lang w:eastAsia="en-GB"/>
              </w:rPr>
              <w:t>infrastructuri</w:t>
            </w:r>
            <w:r w:rsidRPr="00152984">
              <w:rPr>
                <w:rFonts w:cstheme="minorHAnsi"/>
                <w:color w:val="002060"/>
                <w:sz w:val="24"/>
                <w:szCs w:val="24"/>
                <w:lang w:eastAsia="en-GB"/>
              </w:rPr>
              <w:t xml:space="preserve"> publice </w:t>
            </w:r>
            <w:r w:rsidRPr="00152984">
              <w:rPr>
                <w:rFonts w:cstheme="minorHAnsi"/>
                <w:color w:val="002060"/>
                <w:sz w:val="24"/>
                <w:szCs w:val="24"/>
                <w:u w:val="single"/>
                <w:lang w:eastAsia="en-GB"/>
              </w:rPr>
              <w:t>noi</w:t>
            </w:r>
            <w:r w:rsidRPr="00152984">
              <w:rPr>
                <w:rFonts w:cstheme="minorHAnsi"/>
                <w:color w:val="002060"/>
                <w:sz w:val="24"/>
                <w:szCs w:val="24"/>
                <w:lang w:eastAsia="en-GB"/>
              </w:rPr>
              <w:t xml:space="preserve"> în cadrul următoarelor priorități și </w:t>
            </w:r>
            <w:r w:rsidR="00BD5A3A" w:rsidRPr="00152984">
              <w:rPr>
                <w:rFonts w:cstheme="minorHAnsi"/>
                <w:color w:val="002060"/>
                <w:sz w:val="24"/>
                <w:szCs w:val="24"/>
                <w:lang w:eastAsia="en-GB"/>
              </w:rPr>
              <w:t>p</w:t>
            </w:r>
            <w:r w:rsidRPr="00152984">
              <w:rPr>
                <w:rFonts w:cstheme="minorHAnsi"/>
                <w:color w:val="002060"/>
                <w:sz w:val="24"/>
                <w:szCs w:val="24"/>
                <w:lang w:eastAsia="en-GB"/>
              </w:rPr>
              <w:t>entru următoarele măsuri:</w:t>
            </w:r>
          </w:p>
          <w:p w14:paraId="1AE93E07" w14:textId="0E706B71" w:rsidR="009F2735" w:rsidRPr="00152984" w:rsidRDefault="009F2735" w:rsidP="00B172DA">
            <w:pPr>
              <w:pStyle w:val="ListParagraph"/>
              <w:numPr>
                <w:ilvl w:val="0"/>
                <w:numId w:val="25"/>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 xml:space="preserve">Prioritatea 2: </w:t>
            </w:r>
            <w:r w:rsidRPr="00152984">
              <w:rPr>
                <w:rFonts w:asciiTheme="minorHAnsi" w:eastAsia="Times New Roman" w:hAnsiTheme="minorHAnsi" w:cstheme="minorHAnsi"/>
                <w:color w:val="002060"/>
                <w:sz w:val="24"/>
                <w:szCs w:val="24"/>
                <w:lang w:val="ro-RO"/>
              </w:rPr>
              <w:t xml:space="preserve">Investiții în infrastructura publică a unităților sanitare care furnizează servicii de </w:t>
            </w:r>
            <w:proofErr w:type="spellStart"/>
            <w:r w:rsidRPr="00152984">
              <w:rPr>
                <w:rFonts w:asciiTheme="minorHAnsi" w:eastAsia="Times New Roman" w:hAnsiTheme="minorHAnsi" w:cstheme="minorHAnsi"/>
                <w:color w:val="002060"/>
                <w:sz w:val="24"/>
                <w:szCs w:val="24"/>
                <w:lang w:val="ro-RO"/>
              </w:rPr>
              <w:t>paliație</w:t>
            </w:r>
            <w:proofErr w:type="spellEnd"/>
            <w:r w:rsidR="003A2CDC" w:rsidRPr="00152984">
              <w:rPr>
                <w:rFonts w:asciiTheme="minorHAnsi" w:eastAsia="Times New Roman" w:hAnsiTheme="minorHAnsi" w:cstheme="minorHAnsi"/>
                <w:color w:val="002060"/>
                <w:sz w:val="24"/>
                <w:szCs w:val="24"/>
                <w:lang w:val="ro-RO"/>
              </w:rPr>
              <w:t xml:space="preserve">, </w:t>
            </w:r>
            <w:r w:rsidRPr="00152984">
              <w:rPr>
                <w:rFonts w:asciiTheme="minorHAnsi" w:eastAsia="Times New Roman" w:hAnsiTheme="minorHAnsi" w:cstheme="minorHAnsi"/>
                <w:color w:val="002060"/>
                <w:sz w:val="24"/>
                <w:szCs w:val="24"/>
                <w:lang w:val="ro-RO"/>
              </w:rPr>
              <w:t>în contextul căreia lista de acțiuni eligibile (</w:t>
            </w:r>
            <w:r w:rsidRPr="00152984">
              <w:rPr>
                <w:rFonts w:asciiTheme="minorHAnsi" w:eastAsia="Times New Roman" w:hAnsiTheme="minorHAnsi" w:cstheme="minorHAnsi"/>
                <w:i/>
                <w:iCs/>
                <w:color w:val="002060"/>
                <w:sz w:val="24"/>
                <w:szCs w:val="24"/>
                <w:lang w:val="ro-RO"/>
              </w:rPr>
              <w:t>dotare/ extindere/ modernizare/ reabilitare</w:t>
            </w:r>
            <w:r w:rsidR="005B5922" w:rsidRPr="00152984">
              <w:rPr>
                <w:rFonts w:asciiTheme="minorHAnsi" w:eastAsia="Times New Roman" w:hAnsiTheme="minorHAnsi" w:cstheme="minorHAnsi"/>
                <w:i/>
                <w:iCs/>
                <w:color w:val="002060"/>
                <w:sz w:val="24"/>
                <w:szCs w:val="24"/>
                <w:lang w:val="ro-RO"/>
              </w:rPr>
              <w:t>/ construcție</w:t>
            </w:r>
            <w:r w:rsidRPr="00152984">
              <w:rPr>
                <w:rFonts w:asciiTheme="minorHAnsi" w:eastAsia="Times New Roman" w:hAnsiTheme="minorHAnsi" w:cstheme="minorHAnsi"/>
                <w:color w:val="002060"/>
                <w:sz w:val="24"/>
                <w:szCs w:val="24"/>
                <w:lang w:val="ro-RO"/>
              </w:rPr>
              <w:t xml:space="preserve">) se poate extinde inclusiv cu acțiunea de </w:t>
            </w:r>
            <w:r w:rsidRPr="00152984">
              <w:rPr>
                <w:rFonts w:asciiTheme="minorHAnsi" w:eastAsia="Times New Roman" w:hAnsiTheme="minorHAnsi" w:cstheme="minorHAnsi"/>
                <w:i/>
                <w:iCs/>
                <w:color w:val="002060"/>
                <w:sz w:val="24"/>
                <w:szCs w:val="24"/>
                <w:lang w:val="ro-RO"/>
              </w:rPr>
              <w:t>construire</w:t>
            </w:r>
            <w:r w:rsidRPr="00152984">
              <w:rPr>
                <w:rFonts w:asciiTheme="minorHAnsi" w:eastAsia="Times New Roman" w:hAnsiTheme="minorHAnsi" w:cstheme="minorHAnsi"/>
                <w:color w:val="002060"/>
                <w:sz w:val="24"/>
                <w:szCs w:val="24"/>
                <w:lang w:val="ro-RO"/>
              </w:rPr>
              <w:t xml:space="preserve"> </w:t>
            </w:r>
          </w:p>
          <w:p w14:paraId="54B483BE" w14:textId="35388A1A" w:rsidR="005B5922" w:rsidRPr="00152984" w:rsidRDefault="005B5922" w:rsidP="005B5922">
            <w:pPr>
              <w:spacing w:before="100"/>
              <w:rPr>
                <w:rFonts w:cstheme="minorHAnsi"/>
                <w:color w:val="002060"/>
                <w:sz w:val="24"/>
                <w:szCs w:val="24"/>
              </w:rPr>
            </w:pPr>
            <w:r w:rsidRPr="00152984">
              <w:rPr>
                <w:rFonts w:cstheme="minorHAnsi"/>
                <w:color w:val="002060"/>
                <w:sz w:val="24"/>
                <w:szCs w:val="24"/>
              </w:rPr>
              <w:t xml:space="preserve">Implementarea și finanțarea acestor măsuri vor asigura complementaritatea cu acțiunile finanțate din PNRR. Astfel, vor fi excluse de la finanțarea din PS P2 unitățile sanitare publice care vor beneficia de finanțare din PNRR componenta 12 </w:t>
            </w:r>
            <w:r w:rsidRPr="00152984">
              <w:rPr>
                <w:rFonts w:cstheme="minorHAnsi"/>
                <w:b/>
                <w:bCs/>
                <w:color w:val="002060"/>
                <w:sz w:val="24"/>
                <w:szCs w:val="24"/>
              </w:rPr>
              <w:t> </w:t>
            </w:r>
            <w:r w:rsidRPr="00152984">
              <w:rPr>
                <w:rFonts w:cstheme="minorHAnsi"/>
                <w:color w:val="002060"/>
                <w:sz w:val="24"/>
                <w:szCs w:val="24"/>
              </w:rPr>
              <w:t>(I2.1 și I2.2.)</w:t>
            </w:r>
          </w:p>
          <w:p w14:paraId="5E692CA4" w14:textId="35C53B21" w:rsidR="005B5922" w:rsidRPr="00152984" w:rsidRDefault="009F2735" w:rsidP="00B172DA">
            <w:pPr>
              <w:pStyle w:val="ListParagraph"/>
              <w:numPr>
                <w:ilvl w:val="0"/>
                <w:numId w:val="25"/>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 xml:space="preserve">Prioritatea 4: </w:t>
            </w:r>
            <w:r w:rsidR="005B5922" w:rsidRPr="00152984">
              <w:rPr>
                <w:rFonts w:asciiTheme="minorHAnsi" w:hAnsiTheme="minorHAnsi" w:cstheme="minorHAnsi"/>
                <w:color w:val="002060"/>
                <w:sz w:val="24"/>
                <w:szCs w:val="24"/>
                <w:lang w:val="ro-RO"/>
              </w:rPr>
              <w:t xml:space="preserve"> Investiții în infrastructuri spitalicești noi</w:t>
            </w:r>
          </w:p>
          <w:p w14:paraId="6F88992A" w14:textId="77777777" w:rsidR="005B5922" w:rsidRPr="00152984" w:rsidRDefault="005B5922" w:rsidP="005B5922">
            <w:pPr>
              <w:spacing w:before="100"/>
              <w:rPr>
                <w:rFonts w:cstheme="minorHAnsi"/>
                <w:color w:val="002060"/>
                <w:sz w:val="24"/>
                <w:szCs w:val="24"/>
              </w:rPr>
            </w:pPr>
            <w:r w:rsidRPr="00152984">
              <w:rPr>
                <w:rFonts w:cstheme="minorHAnsi"/>
                <w:b/>
                <w:bCs/>
                <w:color w:val="002060"/>
                <w:sz w:val="24"/>
                <w:szCs w:val="24"/>
              </w:rPr>
              <w:t>A. Continuarea investițiilor în spitalele regionale de urgență: Iași, Cluj, Craiova (faza a II a)</w:t>
            </w:r>
          </w:p>
          <w:p w14:paraId="6668E434" w14:textId="77777777" w:rsidR="005B5922" w:rsidRPr="00152984" w:rsidRDefault="005B5922" w:rsidP="005B5922">
            <w:pPr>
              <w:spacing w:before="100"/>
              <w:rPr>
                <w:rFonts w:cstheme="minorHAnsi"/>
                <w:color w:val="002060"/>
                <w:sz w:val="24"/>
                <w:szCs w:val="24"/>
              </w:rPr>
            </w:pPr>
            <w:r w:rsidRPr="00152984">
              <w:rPr>
                <w:rFonts w:cstheme="minorHAnsi"/>
                <w:b/>
                <w:bCs/>
                <w:color w:val="002060"/>
                <w:sz w:val="24"/>
                <w:szCs w:val="24"/>
              </w:rPr>
              <w:t xml:space="preserve">Exemple de acțiuni eligibile: </w:t>
            </w:r>
          </w:p>
          <w:p w14:paraId="61079A25" w14:textId="77777777" w:rsidR="005B5922" w:rsidRPr="00152984" w:rsidRDefault="005B5922" w:rsidP="005B5922">
            <w:pPr>
              <w:numPr>
                <w:ilvl w:val="0"/>
                <w:numId w:val="32"/>
              </w:numPr>
              <w:spacing w:before="100"/>
              <w:rPr>
                <w:rFonts w:cstheme="minorHAnsi"/>
                <w:color w:val="002060"/>
                <w:sz w:val="24"/>
                <w:szCs w:val="24"/>
              </w:rPr>
            </w:pPr>
            <w:r w:rsidRPr="00152984">
              <w:rPr>
                <w:rFonts w:cstheme="minorHAnsi"/>
                <w:color w:val="002060"/>
                <w:sz w:val="24"/>
                <w:szCs w:val="24"/>
              </w:rPr>
              <w:t>construcția/ dotarea spitalele regionale de urgență (inclusiv activități, precum: coordonarea proiectelor, administrare, management financiar, raportare, monitorizare și evaluare, activități de informare specifice etc)</w:t>
            </w:r>
          </w:p>
          <w:p w14:paraId="7BB175EC" w14:textId="77777777" w:rsidR="005B5922" w:rsidRPr="00152984" w:rsidRDefault="005B5922" w:rsidP="005B5922">
            <w:pPr>
              <w:numPr>
                <w:ilvl w:val="0"/>
                <w:numId w:val="32"/>
              </w:numPr>
              <w:spacing w:before="100"/>
              <w:rPr>
                <w:rFonts w:cstheme="minorHAnsi"/>
                <w:color w:val="002060"/>
                <w:sz w:val="24"/>
                <w:szCs w:val="24"/>
              </w:rPr>
            </w:pPr>
            <w:r w:rsidRPr="00152984">
              <w:rPr>
                <w:rFonts w:cstheme="minorHAnsi"/>
                <w:color w:val="002060"/>
                <w:sz w:val="24"/>
                <w:szCs w:val="24"/>
              </w:rPr>
              <w:lastRenderedPageBreak/>
              <w:t xml:space="preserve">măsuri de tip FSE+ în limita de flexibilitate prevăzută de </w:t>
            </w:r>
            <w:proofErr w:type="spellStart"/>
            <w:r w:rsidRPr="00152984">
              <w:rPr>
                <w:rFonts w:cstheme="minorHAnsi"/>
                <w:color w:val="002060"/>
                <w:sz w:val="24"/>
                <w:szCs w:val="24"/>
              </w:rPr>
              <w:t>art</w:t>
            </w:r>
            <w:proofErr w:type="spellEnd"/>
            <w:r w:rsidRPr="00152984">
              <w:rPr>
                <w:rFonts w:cstheme="minorHAnsi"/>
                <w:color w:val="002060"/>
                <w:sz w:val="24"/>
                <w:szCs w:val="24"/>
              </w:rPr>
              <w:t xml:space="preserve"> 25 RDC, pe baza strategiei de resurse umane și a planurilor de evaluare a nevoilor de formare realizate cu sprijin POAT 2021-2027.</w:t>
            </w:r>
          </w:p>
          <w:p w14:paraId="6A7A43D1" w14:textId="77777777" w:rsidR="005B5922" w:rsidRPr="006F159E" w:rsidRDefault="005B5922" w:rsidP="005B5922">
            <w:pPr>
              <w:pStyle w:val="ListParagraph"/>
              <w:spacing w:before="60"/>
              <w:ind w:left="360"/>
              <w:contextualSpacing w:val="0"/>
              <w:jc w:val="both"/>
              <w:rPr>
                <w:rFonts w:asciiTheme="minorHAnsi" w:hAnsiTheme="minorHAnsi" w:cstheme="minorHAnsi"/>
                <w:color w:val="002060"/>
                <w:sz w:val="24"/>
                <w:szCs w:val="24"/>
                <w:lang w:val="ro-RO"/>
              </w:rPr>
            </w:pPr>
          </w:p>
          <w:p w14:paraId="59CD3029" w14:textId="77777777" w:rsidR="005B5922" w:rsidRPr="006F159E" w:rsidRDefault="005B5922" w:rsidP="005B5922">
            <w:pPr>
              <w:spacing w:before="60"/>
              <w:jc w:val="both"/>
              <w:rPr>
                <w:rFonts w:cstheme="minorHAnsi"/>
                <w:color w:val="002060"/>
                <w:sz w:val="24"/>
                <w:szCs w:val="24"/>
              </w:rPr>
            </w:pPr>
          </w:p>
          <w:p w14:paraId="0EC38A57" w14:textId="479C19D8" w:rsidR="00BD5A3A" w:rsidRPr="00152984" w:rsidRDefault="009F2735" w:rsidP="00B172DA">
            <w:pPr>
              <w:pStyle w:val="ListParagraph"/>
              <w:numPr>
                <w:ilvl w:val="0"/>
                <w:numId w:val="25"/>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 xml:space="preserve">Prioritatea 7: </w:t>
            </w:r>
            <w:r w:rsidR="00BD5A3A" w:rsidRPr="00152984">
              <w:rPr>
                <w:rFonts w:asciiTheme="minorHAnsi" w:eastAsia="Times New Roman" w:hAnsiTheme="minorHAnsi" w:cstheme="minorHAnsi"/>
                <w:color w:val="002060"/>
                <w:sz w:val="24"/>
                <w:szCs w:val="24"/>
                <w:lang w:val="ro-RO"/>
              </w:rPr>
              <w:t>Investiții în infrastructuri spitalicești publice noi cu impact teritorial major</w:t>
            </w:r>
          </w:p>
          <w:p w14:paraId="45DCFE2C" w14:textId="5B8D61D0" w:rsidR="009F2735" w:rsidRPr="00152984" w:rsidRDefault="00BD5A3A" w:rsidP="00B172DA">
            <w:pPr>
              <w:pStyle w:val="ListParagraph"/>
              <w:numPr>
                <w:ilvl w:val="1"/>
                <w:numId w:val="25"/>
              </w:numPr>
              <w:spacing w:before="60"/>
              <w:contextualSpacing w:val="0"/>
              <w:jc w:val="both"/>
              <w:rPr>
                <w:rFonts w:asciiTheme="minorHAnsi" w:hAnsiTheme="minorHAnsi" w:cstheme="minorHAnsi"/>
                <w:color w:val="002060"/>
                <w:sz w:val="24"/>
                <w:szCs w:val="24"/>
                <w:lang w:val="ro-RO"/>
              </w:rPr>
            </w:pPr>
            <w:r w:rsidRPr="00152984">
              <w:rPr>
                <w:rFonts w:asciiTheme="minorHAnsi" w:eastAsia="Times New Roman" w:hAnsiTheme="minorHAnsi" w:cstheme="minorHAnsi"/>
                <w:color w:val="002060"/>
                <w:sz w:val="24"/>
                <w:szCs w:val="24"/>
                <w:lang w:val="ro-RO"/>
              </w:rPr>
              <w:t xml:space="preserve"> Institut de oncologie</w:t>
            </w:r>
            <w:r w:rsidR="005B5922" w:rsidRPr="00152984">
              <w:rPr>
                <w:rFonts w:asciiTheme="minorHAnsi" w:eastAsia="Times New Roman" w:hAnsiTheme="minorHAnsi" w:cstheme="minorHAnsi"/>
                <w:color w:val="002060"/>
                <w:sz w:val="24"/>
                <w:szCs w:val="24"/>
                <w:lang w:val="ro-RO"/>
              </w:rPr>
              <w:t xml:space="preserve"> – IOB </w:t>
            </w:r>
            <w:proofErr w:type="spellStart"/>
            <w:r w:rsidR="005B5922" w:rsidRPr="00152984">
              <w:rPr>
                <w:rFonts w:asciiTheme="minorHAnsi" w:eastAsia="Times New Roman" w:hAnsiTheme="minorHAnsi" w:cstheme="minorHAnsi"/>
                <w:color w:val="002060"/>
                <w:sz w:val="24"/>
                <w:szCs w:val="24"/>
                <w:lang w:val="ro-RO"/>
              </w:rPr>
              <w:t>Trestioreanu</w:t>
            </w:r>
            <w:proofErr w:type="spellEnd"/>
          </w:p>
          <w:p w14:paraId="732B10F8" w14:textId="28627979" w:rsidR="005B5922" w:rsidRPr="00152984" w:rsidRDefault="00BD5A3A" w:rsidP="005B5922">
            <w:pPr>
              <w:pStyle w:val="ListParagraph"/>
              <w:numPr>
                <w:ilvl w:val="1"/>
                <w:numId w:val="25"/>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IC Fundeni</w:t>
            </w:r>
          </w:p>
          <w:p w14:paraId="611C39A2" w14:textId="7744D679" w:rsidR="005B5922" w:rsidRPr="00152984" w:rsidRDefault="005B5922" w:rsidP="005B5922">
            <w:pPr>
              <w:spacing w:before="100"/>
              <w:rPr>
                <w:rFonts w:cstheme="minorHAnsi"/>
                <w:color w:val="002060"/>
                <w:sz w:val="24"/>
                <w:szCs w:val="24"/>
              </w:rPr>
            </w:pPr>
            <w:r w:rsidRPr="00152984">
              <w:rPr>
                <w:rFonts w:cstheme="minorHAnsi"/>
                <w:color w:val="002060"/>
                <w:sz w:val="24"/>
                <w:szCs w:val="24"/>
              </w:rPr>
              <w:t>Unitățile sanitare care vor fi sprijinite prin:</w:t>
            </w:r>
          </w:p>
          <w:p w14:paraId="12DBD35F" w14:textId="2CE84FBB" w:rsidR="005B5922" w:rsidRPr="00152984" w:rsidRDefault="005B5922" w:rsidP="005B5922">
            <w:pPr>
              <w:numPr>
                <w:ilvl w:val="0"/>
                <w:numId w:val="34"/>
              </w:numPr>
              <w:spacing w:before="100"/>
              <w:rPr>
                <w:rFonts w:cstheme="minorHAnsi"/>
                <w:color w:val="002060"/>
                <w:sz w:val="24"/>
                <w:szCs w:val="24"/>
              </w:rPr>
            </w:pPr>
            <w:r w:rsidRPr="00152984">
              <w:rPr>
                <w:rFonts w:cstheme="minorHAnsi"/>
                <w:color w:val="002060"/>
                <w:sz w:val="24"/>
                <w:szCs w:val="24"/>
              </w:rPr>
              <w:t>PNRR (componenta 12) I2.1 și 2.2 vor fi excluse de la finanțarea din PS, P7 - Investiții în infrastructuri spitalicești publice noi cu impact teritorial major în domeniul on</w:t>
            </w:r>
            <w:r w:rsidR="00C6071E" w:rsidRPr="00152984">
              <w:rPr>
                <w:rFonts w:cstheme="minorHAnsi"/>
                <w:color w:val="002060"/>
                <w:sz w:val="24"/>
                <w:szCs w:val="24"/>
              </w:rPr>
              <w:t>c</w:t>
            </w:r>
            <w:r w:rsidRPr="00152984">
              <w:rPr>
                <w:rFonts w:cstheme="minorHAnsi"/>
                <w:color w:val="002060"/>
                <w:sz w:val="24"/>
                <w:szCs w:val="24"/>
              </w:rPr>
              <w:t>ologie punctul e/ transplant punctul B2.</w:t>
            </w:r>
          </w:p>
          <w:p w14:paraId="16489CFC" w14:textId="77777777" w:rsidR="005B5922" w:rsidRPr="00152984" w:rsidRDefault="005B5922" w:rsidP="005B5922">
            <w:pPr>
              <w:numPr>
                <w:ilvl w:val="0"/>
                <w:numId w:val="34"/>
              </w:numPr>
              <w:spacing w:before="100"/>
              <w:rPr>
                <w:rFonts w:cstheme="minorHAnsi"/>
                <w:color w:val="002060"/>
                <w:sz w:val="24"/>
                <w:szCs w:val="24"/>
              </w:rPr>
            </w:pPr>
            <w:r w:rsidRPr="00152984">
              <w:rPr>
                <w:rFonts w:cstheme="minorHAnsi"/>
                <w:color w:val="002060"/>
                <w:sz w:val="24"/>
                <w:szCs w:val="24"/>
              </w:rPr>
              <w:t>PS – P4 transplant vor fi excluse de la finanțarea din PS, P7</w:t>
            </w:r>
          </w:p>
          <w:p w14:paraId="64DAE7CE" w14:textId="77777777" w:rsidR="005B5922" w:rsidRPr="00152984" w:rsidRDefault="005B5922" w:rsidP="005B5922">
            <w:pPr>
              <w:spacing w:before="60"/>
              <w:jc w:val="both"/>
              <w:rPr>
                <w:rFonts w:cstheme="minorHAnsi"/>
                <w:color w:val="002060"/>
                <w:sz w:val="24"/>
                <w:szCs w:val="24"/>
              </w:rPr>
            </w:pPr>
          </w:p>
          <w:p w14:paraId="44367236" w14:textId="418ECC9F" w:rsidR="00BD5A3A" w:rsidRPr="00152984" w:rsidRDefault="003A2CDC" w:rsidP="00B172DA">
            <w:pPr>
              <w:spacing w:before="60"/>
              <w:jc w:val="both"/>
              <w:rPr>
                <w:rFonts w:cstheme="minorHAnsi"/>
                <w:color w:val="002060"/>
                <w:sz w:val="24"/>
                <w:szCs w:val="24"/>
                <w:lang w:eastAsia="en-GB"/>
              </w:rPr>
            </w:pPr>
            <w:r w:rsidRPr="00152984">
              <w:rPr>
                <w:rFonts w:cstheme="minorHAnsi"/>
                <w:color w:val="002060"/>
                <w:sz w:val="24"/>
                <w:szCs w:val="24"/>
              </w:rPr>
              <w:t xml:space="preserve">Deoarece prin PNRR pentru anumite obiective de infrastructuri </w:t>
            </w:r>
            <w:r w:rsidRPr="00152984">
              <w:rPr>
                <w:rFonts w:cstheme="minorHAnsi"/>
                <w:color w:val="002060"/>
                <w:sz w:val="24"/>
                <w:szCs w:val="24"/>
                <w:lang w:eastAsia="en-GB"/>
              </w:rPr>
              <w:t xml:space="preserve">publice noi nu se acoperă 100% din costul investiției, la acest moment prin tipologia investițiilor de tip FEDR sprijinite prin </w:t>
            </w:r>
            <w:r w:rsidR="005B5922" w:rsidRPr="00152984">
              <w:rPr>
                <w:rFonts w:cstheme="minorHAnsi"/>
                <w:color w:val="002060"/>
                <w:sz w:val="24"/>
                <w:szCs w:val="24"/>
                <w:lang w:eastAsia="en-GB"/>
              </w:rPr>
              <w:t>PS</w:t>
            </w:r>
            <w:r w:rsidRPr="00152984">
              <w:rPr>
                <w:rFonts w:cstheme="minorHAnsi"/>
                <w:color w:val="002060"/>
                <w:sz w:val="24"/>
                <w:szCs w:val="24"/>
                <w:u w:val="single"/>
                <w:lang w:eastAsia="en-GB"/>
              </w:rPr>
              <w:t xml:space="preserve"> </w:t>
            </w:r>
            <w:r w:rsidRPr="00152984">
              <w:rPr>
                <w:rFonts w:cstheme="minorHAnsi"/>
                <w:color w:val="002060"/>
                <w:sz w:val="24"/>
                <w:szCs w:val="24"/>
                <w:lang w:eastAsia="en-GB"/>
              </w:rPr>
              <w:t>nu există intenția de a finanța din Programul Operațional  Sănătate</w:t>
            </w:r>
            <w:r w:rsidRPr="00152984">
              <w:rPr>
                <w:rFonts w:cstheme="minorHAnsi"/>
                <w:color w:val="002060"/>
                <w:sz w:val="24"/>
                <w:szCs w:val="24"/>
              </w:rPr>
              <w:t xml:space="preserve"> costul rămas al proiectului (până la 100%). </w:t>
            </w:r>
            <w:r w:rsidR="00BD5A3A" w:rsidRPr="00152984">
              <w:rPr>
                <w:rFonts w:cstheme="minorHAnsi"/>
                <w:color w:val="002060"/>
                <w:sz w:val="24"/>
                <w:szCs w:val="24"/>
              </w:rPr>
              <w:t xml:space="preserve">Prin urmare, investițiile în </w:t>
            </w:r>
            <w:r w:rsidR="00BD5A3A" w:rsidRPr="00152984">
              <w:rPr>
                <w:rFonts w:cstheme="minorHAnsi"/>
                <w:color w:val="002060"/>
                <w:sz w:val="24"/>
                <w:szCs w:val="24"/>
                <w:lang w:eastAsia="en-GB"/>
              </w:rPr>
              <w:t xml:space="preserve">infrastructuri publice noi susținute din PNRR nu vor fi susținute pentru investiții </w:t>
            </w:r>
            <w:r w:rsidRPr="00152984">
              <w:rPr>
                <w:rFonts w:cstheme="minorHAnsi"/>
                <w:color w:val="002060"/>
                <w:sz w:val="24"/>
                <w:szCs w:val="24"/>
                <w:lang w:eastAsia="en-GB"/>
              </w:rPr>
              <w:t>similare (</w:t>
            </w:r>
            <w:r w:rsidR="00BD5A3A" w:rsidRPr="00152984">
              <w:rPr>
                <w:rFonts w:cstheme="minorHAnsi"/>
                <w:color w:val="002060"/>
                <w:sz w:val="24"/>
                <w:szCs w:val="24"/>
                <w:lang w:eastAsia="en-GB"/>
              </w:rPr>
              <w:t xml:space="preserve">în infrastructuri </w:t>
            </w:r>
            <w:r w:rsidRPr="00152984">
              <w:rPr>
                <w:rFonts w:cstheme="minorHAnsi"/>
                <w:color w:val="002060"/>
                <w:sz w:val="24"/>
                <w:szCs w:val="24"/>
                <w:lang w:eastAsia="en-GB"/>
              </w:rPr>
              <w:t>publice</w:t>
            </w:r>
            <w:r w:rsidR="00BD5A3A" w:rsidRPr="00152984">
              <w:rPr>
                <w:rFonts w:cstheme="minorHAnsi"/>
                <w:color w:val="002060"/>
                <w:sz w:val="24"/>
                <w:szCs w:val="24"/>
                <w:lang w:eastAsia="en-GB"/>
              </w:rPr>
              <w:t xml:space="preserve"> noi</w:t>
            </w:r>
            <w:r w:rsidRPr="00152984">
              <w:rPr>
                <w:rFonts w:cstheme="minorHAnsi"/>
                <w:color w:val="002060"/>
                <w:sz w:val="24"/>
                <w:szCs w:val="24"/>
                <w:lang w:eastAsia="en-GB"/>
              </w:rPr>
              <w:t xml:space="preserve">) </w:t>
            </w:r>
            <w:r w:rsidR="00BD5A3A" w:rsidRPr="00152984">
              <w:rPr>
                <w:rFonts w:cstheme="minorHAnsi"/>
                <w:color w:val="002060"/>
                <w:sz w:val="24"/>
                <w:szCs w:val="24"/>
                <w:lang w:eastAsia="en-GB"/>
              </w:rPr>
              <w:t xml:space="preserve">din </w:t>
            </w:r>
            <w:r w:rsidR="005B5922" w:rsidRPr="00152984">
              <w:rPr>
                <w:rFonts w:cstheme="minorHAnsi"/>
                <w:color w:val="002060"/>
                <w:sz w:val="24"/>
                <w:szCs w:val="24"/>
                <w:lang w:eastAsia="en-GB"/>
              </w:rPr>
              <w:t>PS</w:t>
            </w:r>
            <w:r w:rsidR="00BD5A3A" w:rsidRPr="00152984">
              <w:rPr>
                <w:rFonts w:cstheme="minorHAnsi"/>
                <w:color w:val="002060"/>
                <w:sz w:val="24"/>
                <w:szCs w:val="24"/>
                <w:lang w:eastAsia="en-GB"/>
              </w:rPr>
              <w:t>.</w:t>
            </w:r>
          </w:p>
          <w:p w14:paraId="1FCE4350" w14:textId="142692B9" w:rsidR="00CD0D1C" w:rsidRPr="00152984" w:rsidRDefault="001D57B5" w:rsidP="00B172DA">
            <w:pPr>
              <w:spacing w:before="60"/>
              <w:jc w:val="both"/>
              <w:rPr>
                <w:rFonts w:cstheme="minorHAnsi"/>
                <w:color w:val="002060"/>
                <w:sz w:val="24"/>
                <w:szCs w:val="24"/>
              </w:rPr>
            </w:pPr>
            <w:r w:rsidRPr="00152984">
              <w:rPr>
                <w:rFonts w:cstheme="minorHAnsi"/>
                <w:color w:val="002060"/>
                <w:sz w:val="24"/>
                <w:szCs w:val="24"/>
              </w:rPr>
              <w:t>Cu toate acestea, aceste unități medicale pot beneficia de finanțare</w:t>
            </w:r>
            <w:r w:rsidR="00FE7DC1" w:rsidRPr="00152984">
              <w:rPr>
                <w:rFonts w:cstheme="minorHAnsi"/>
                <w:color w:val="002060"/>
                <w:sz w:val="24"/>
                <w:szCs w:val="24"/>
              </w:rPr>
              <w:t xml:space="preserve"> din</w:t>
            </w:r>
            <w:r w:rsidRPr="00152984">
              <w:rPr>
                <w:rFonts w:cstheme="minorHAnsi"/>
                <w:color w:val="002060"/>
                <w:sz w:val="24"/>
                <w:szCs w:val="24"/>
              </w:rPr>
              <w:t xml:space="preserve"> </w:t>
            </w:r>
            <w:r w:rsidR="006A0540" w:rsidRPr="00152984">
              <w:rPr>
                <w:rFonts w:cstheme="minorHAnsi"/>
                <w:color w:val="002060"/>
                <w:sz w:val="24"/>
                <w:szCs w:val="24"/>
              </w:rPr>
              <w:t>P</w:t>
            </w:r>
            <w:r w:rsidRPr="00152984">
              <w:rPr>
                <w:rFonts w:cstheme="minorHAnsi"/>
                <w:color w:val="002060"/>
                <w:sz w:val="24"/>
                <w:szCs w:val="24"/>
              </w:rPr>
              <w:t xml:space="preserve">rogramul </w:t>
            </w:r>
            <w:r w:rsidR="006A0540" w:rsidRPr="00152984">
              <w:rPr>
                <w:rFonts w:cstheme="minorHAnsi"/>
                <w:color w:val="002060"/>
                <w:sz w:val="24"/>
                <w:szCs w:val="24"/>
              </w:rPr>
              <w:t>O</w:t>
            </w:r>
            <w:r w:rsidRPr="00152984">
              <w:rPr>
                <w:rFonts w:cstheme="minorHAnsi"/>
                <w:color w:val="002060"/>
                <w:sz w:val="24"/>
                <w:szCs w:val="24"/>
              </w:rPr>
              <w:t xml:space="preserve">perațional </w:t>
            </w:r>
            <w:r w:rsidR="006A0540" w:rsidRPr="00152984">
              <w:rPr>
                <w:rFonts w:cstheme="minorHAnsi"/>
                <w:color w:val="002060"/>
                <w:sz w:val="24"/>
                <w:szCs w:val="24"/>
              </w:rPr>
              <w:t>S</w:t>
            </w:r>
            <w:r w:rsidR="001412EF" w:rsidRPr="00152984">
              <w:rPr>
                <w:rFonts w:cstheme="minorHAnsi"/>
                <w:color w:val="002060"/>
                <w:sz w:val="24"/>
                <w:szCs w:val="24"/>
              </w:rPr>
              <w:t xml:space="preserve">ănătate </w:t>
            </w:r>
            <w:r w:rsidRPr="00152984">
              <w:rPr>
                <w:rFonts w:cstheme="minorHAnsi"/>
                <w:color w:val="002060"/>
                <w:sz w:val="24"/>
                <w:szCs w:val="24"/>
              </w:rPr>
              <w:t xml:space="preserve">(de exemplu, </w:t>
            </w:r>
            <w:r w:rsidRPr="00152984">
              <w:rPr>
                <w:rFonts w:cstheme="minorHAnsi"/>
                <w:i/>
                <w:iCs/>
                <w:color w:val="002060"/>
                <w:sz w:val="24"/>
                <w:szCs w:val="24"/>
              </w:rPr>
              <w:t xml:space="preserve">pentru laboratoare, unități </w:t>
            </w:r>
            <w:r w:rsidR="00B555DC" w:rsidRPr="00152984">
              <w:rPr>
                <w:rFonts w:cstheme="minorHAnsi"/>
                <w:i/>
                <w:iCs/>
                <w:color w:val="002060"/>
                <w:sz w:val="24"/>
                <w:szCs w:val="24"/>
              </w:rPr>
              <w:t xml:space="preserve">sanitare care tratează pacienți </w:t>
            </w:r>
            <w:r w:rsidRPr="00152984">
              <w:rPr>
                <w:rFonts w:cstheme="minorHAnsi"/>
                <w:i/>
                <w:iCs/>
                <w:color w:val="002060"/>
                <w:sz w:val="24"/>
                <w:szCs w:val="24"/>
              </w:rPr>
              <w:t>critic</w:t>
            </w:r>
            <w:r w:rsidR="00B555DC" w:rsidRPr="00152984">
              <w:rPr>
                <w:rFonts w:cstheme="minorHAnsi"/>
                <w:i/>
                <w:iCs/>
                <w:color w:val="002060"/>
                <w:sz w:val="24"/>
                <w:szCs w:val="24"/>
              </w:rPr>
              <w:t>i</w:t>
            </w:r>
            <w:r w:rsidRPr="00152984">
              <w:rPr>
                <w:rFonts w:cstheme="minorHAnsi"/>
                <w:i/>
                <w:iCs/>
                <w:color w:val="002060"/>
                <w:sz w:val="24"/>
                <w:szCs w:val="24"/>
              </w:rPr>
              <w:t xml:space="preserve"> </w:t>
            </w:r>
            <w:r w:rsidRPr="00152984">
              <w:rPr>
                <w:rFonts w:cstheme="minorHAnsi"/>
                <w:color w:val="002060"/>
                <w:sz w:val="24"/>
                <w:szCs w:val="24"/>
              </w:rPr>
              <w:t>etc.), cu condiția să respecte dispoziția</w:t>
            </w:r>
            <w:r w:rsidR="00CD0D1C" w:rsidRPr="00152984">
              <w:rPr>
                <w:rFonts w:cstheme="minorHAnsi"/>
                <w:color w:val="002060"/>
                <w:sz w:val="24"/>
                <w:szCs w:val="24"/>
              </w:rPr>
              <w:t xml:space="preserve"> </w:t>
            </w:r>
            <w:r w:rsidRPr="00152984">
              <w:rPr>
                <w:rFonts w:cstheme="minorHAnsi"/>
                <w:color w:val="002060"/>
                <w:sz w:val="24"/>
                <w:szCs w:val="24"/>
              </w:rPr>
              <w:t xml:space="preserve">privind </w:t>
            </w:r>
            <w:r w:rsidR="00CD0D1C" w:rsidRPr="00152984">
              <w:rPr>
                <w:rFonts w:cstheme="minorHAnsi"/>
                <w:color w:val="002060"/>
                <w:sz w:val="24"/>
                <w:szCs w:val="24"/>
              </w:rPr>
              <w:t>evitarea dublei finanțări reglementată de legislația națională în vigoare</w:t>
            </w:r>
            <w:r w:rsidR="003A2CDC" w:rsidRPr="00152984">
              <w:rPr>
                <w:rFonts w:cstheme="minorHAnsi"/>
                <w:color w:val="002060"/>
                <w:sz w:val="24"/>
                <w:szCs w:val="24"/>
              </w:rPr>
              <w:t xml:space="preserve">, </w:t>
            </w:r>
            <w:r w:rsidR="00CD0D1C" w:rsidRPr="00152984">
              <w:rPr>
                <w:rFonts w:cstheme="minorHAnsi"/>
                <w:color w:val="002060"/>
                <w:sz w:val="24"/>
                <w:szCs w:val="24"/>
              </w:rPr>
              <w:t>cât și de cea europeană</w:t>
            </w:r>
            <w:r w:rsidR="003A2CDC" w:rsidRPr="00152984">
              <w:rPr>
                <w:rFonts w:cstheme="minorHAnsi"/>
                <w:color w:val="002060"/>
                <w:sz w:val="24"/>
                <w:szCs w:val="24"/>
              </w:rPr>
              <w:t>, precum și condițiile din ghidurile specifice cu privire la cartografierea serviciilor medicale.</w:t>
            </w:r>
          </w:p>
          <w:p w14:paraId="121631BE" w14:textId="77777777" w:rsidR="0054057F" w:rsidRPr="00152984" w:rsidRDefault="0054057F" w:rsidP="00B172DA">
            <w:pPr>
              <w:spacing w:before="60"/>
              <w:jc w:val="both"/>
              <w:rPr>
                <w:rFonts w:cstheme="minorHAnsi"/>
                <w:color w:val="002060"/>
                <w:sz w:val="24"/>
                <w:szCs w:val="24"/>
              </w:rPr>
            </w:pPr>
          </w:p>
          <w:p w14:paraId="34024CB0" w14:textId="219B3112" w:rsidR="001D57B5" w:rsidRPr="00152984" w:rsidRDefault="001D57B5" w:rsidP="00B172DA">
            <w:pPr>
              <w:spacing w:before="60"/>
              <w:jc w:val="both"/>
              <w:rPr>
                <w:rFonts w:cstheme="minorHAnsi"/>
                <w:i/>
                <w:iCs/>
                <w:color w:val="002060"/>
                <w:sz w:val="24"/>
                <w:szCs w:val="24"/>
                <w:lang w:eastAsia="en-GB"/>
              </w:rPr>
            </w:pPr>
            <w:r w:rsidRPr="00152984">
              <w:rPr>
                <w:rFonts w:cstheme="minorHAnsi"/>
                <w:color w:val="002060"/>
                <w:sz w:val="24"/>
                <w:szCs w:val="24"/>
              </w:rPr>
              <w:t xml:space="preserve">Măsurile avute în vedere </w:t>
            </w:r>
            <w:r w:rsidR="003A2CDC" w:rsidRPr="00152984">
              <w:rPr>
                <w:rFonts w:cstheme="minorHAnsi"/>
                <w:color w:val="002060"/>
                <w:sz w:val="24"/>
                <w:szCs w:val="24"/>
              </w:rPr>
              <w:t xml:space="preserve">pentru evitarea dublei finanțări sunt prezentate în documentul </w:t>
            </w:r>
            <w:r w:rsidR="003A2CDC" w:rsidRPr="00152984">
              <w:rPr>
                <w:rFonts w:cstheme="minorHAnsi"/>
                <w:i/>
                <w:iCs/>
                <w:color w:val="002060"/>
                <w:sz w:val="24"/>
                <w:szCs w:val="24"/>
              </w:rPr>
              <w:t xml:space="preserve">Mecanism de evitare dubla finanțare </w:t>
            </w:r>
            <w:r w:rsidR="005B5922" w:rsidRPr="00152984">
              <w:rPr>
                <w:rFonts w:cstheme="minorHAnsi"/>
                <w:i/>
                <w:iCs/>
                <w:color w:val="002060"/>
                <w:sz w:val="24"/>
                <w:szCs w:val="24"/>
              </w:rPr>
              <w:t>PS</w:t>
            </w:r>
            <w:r w:rsidR="003A2CDC" w:rsidRPr="00152984">
              <w:rPr>
                <w:rFonts w:cstheme="minorHAnsi"/>
                <w:i/>
                <w:iCs/>
                <w:color w:val="002060"/>
                <w:sz w:val="24"/>
                <w:szCs w:val="24"/>
              </w:rPr>
              <w:t xml:space="preserve"> PNRR atașat </w:t>
            </w:r>
            <w:r w:rsidR="005B5922" w:rsidRPr="00152984">
              <w:rPr>
                <w:rFonts w:cstheme="minorHAnsi"/>
                <w:i/>
                <w:iCs/>
                <w:color w:val="002060"/>
                <w:sz w:val="24"/>
                <w:szCs w:val="24"/>
              </w:rPr>
              <w:t>PS</w:t>
            </w:r>
          </w:p>
        </w:tc>
      </w:tr>
      <w:tr w:rsidR="005B5922" w:rsidRPr="005B5922" w14:paraId="459111AC" w14:textId="77777777" w:rsidTr="00327292">
        <w:tc>
          <w:tcPr>
            <w:tcW w:w="501" w:type="pct"/>
            <w:gridSpan w:val="2"/>
          </w:tcPr>
          <w:p w14:paraId="61BEF6A3" w14:textId="0A99BE15" w:rsidR="001D57B5" w:rsidRPr="00152984" w:rsidRDefault="009B6196" w:rsidP="00B172DA">
            <w:pPr>
              <w:spacing w:before="60"/>
              <w:jc w:val="both"/>
              <w:rPr>
                <w:rFonts w:cstheme="minorHAnsi"/>
                <w:color w:val="002060"/>
                <w:sz w:val="24"/>
                <w:szCs w:val="24"/>
                <w:lang w:eastAsia="en-GB"/>
              </w:rPr>
            </w:pPr>
            <w:r w:rsidRPr="00152984">
              <w:rPr>
                <w:rFonts w:cstheme="minorHAnsi"/>
                <w:color w:val="002060"/>
                <w:sz w:val="24"/>
                <w:szCs w:val="24"/>
                <w:lang w:eastAsia="en-GB"/>
              </w:rPr>
              <w:lastRenderedPageBreak/>
              <w:t>Echipamente și aparatură medicală</w:t>
            </w:r>
            <w:r w:rsidR="00B433B7" w:rsidRPr="00152984">
              <w:rPr>
                <w:rFonts w:cstheme="minorHAnsi"/>
                <w:color w:val="002060"/>
                <w:sz w:val="24"/>
                <w:szCs w:val="24"/>
                <w:lang w:eastAsia="en-GB"/>
              </w:rPr>
              <w:t xml:space="preserve"> pentru unități sanitare publice noi</w:t>
            </w:r>
          </w:p>
        </w:tc>
        <w:tc>
          <w:tcPr>
            <w:tcW w:w="1176" w:type="pct"/>
          </w:tcPr>
          <w:p w14:paraId="6552B676" w14:textId="3DD891BD" w:rsidR="00B433B7" w:rsidRPr="00152984" w:rsidRDefault="005B5922" w:rsidP="00B172DA">
            <w:pPr>
              <w:spacing w:before="60"/>
              <w:jc w:val="both"/>
              <w:rPr>
                <w:rFonts w:cstheme="minorHAnsi"/>
                <w:color w:val="002060"/>
                <w:sz w:val="24"/>
                <w:szCs w:val="24"/>
              </w:rPr>
            </w:pPr>
            <w:r w:rsidRPr="00152984">
              <w:rPr>
                <w:rFonts w:cstheme="minorHAnsi"/>
                <w:color w:val="002060"/>
                <w:sz w:val="24"/>
                <w:szCs w:val="24"/>
              </w:rPr>
              <w:t>PS</w:t>
            </w:r>
            <w:r w:rsidR="00B433B7" w:rsidRPr="00152984">
              <w:rPr>
                <w:rFonts w:cstheme="minorHAnsi"/>
                <w:color w:val="002060"/>
                <w:sz w:val="24"/>
                <w:szCs w:val="24"/>
              </w:rPr>
              <w:t xml:space="preserve"> FEDR</w:t>
            </w:r>
          </w:p>
          <w:p w14:paraId="12AF8560" w14:textId="1915FE26" w:rsidR="00B433B7" w:rsidRPr="00152984" w:rsidRDefault="00B433B7" w:rsidP="00B172DA">
            <w:pPr>
              <w:pStyle w:val="ListParagraph"/>
              <w:numPr>
                <w:ilvl w:val="0"/>
                <w:numId w:val="27"/>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Prioritatea 2 FEDR</w:t>
            </w:r>
          </w:p>
          <w:p w14:paraId="48652D83" w14:textId="4D869D1D" w:rsidR="001837FE" w:rsidRPr="00152984" w:rsidRDefault="00B433B7" w:rsidP="00B172DA">
            <w:pPr>
              <w:pStyle w:val="ListParagraph"/>
              <w:numPr>
                <w:ilvl w:val="0"/>
                <w:numId w:val="27"/>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 xml:space="preserve">Prioritatea </w:t>
            </w:r>
            <w:r w:rsidR="001837FE" w:rsidRPr="00152984">
              <w:rPr>
                <w:rFonts w:asciiTheme="minorHAnsi" w:hAnsiTheme="minorHAnsi" w:cstheme="minorHAnsi"/>
                <w:color w:val="002060"/>
                <w:sz w:val="24"/>
                <w:szCs w:val="24"/>
                <w:lang w:val="ro-RO"/>
              </w:rPr>
              <w:t>3</w:t>
            </w:r>
            <w:r w:rsidR="00941AEB" w:rsidRPr="00152984">
              <w:rPr>
                <w:rFonts w:asciiTheme="minorHAnsi" w:hAnsiTheme="minorHAnsi" w:cstheme="minorHAnsi"/>
                <w:color w:val="002060"/>
                <w:sz w:val="24"/>
                <w:szCs w:val="24"/>
                <w:lang w:val="ro-RO"/>
              </w:rPr>
              <w:t xml:space="preserve"> FEDR</w:t>
            </w:r>
          </w:p>
          <w:p w14:paraId="220FA39E" w14:textId="33CE828A" w:rsidR="001837FE" w:rsidRPr="00152984" w:rsidRDefault="00B433B7" w:rsidP="00B172DA">
            <w:pPr>
              <w:pStyle w:val="ListParagraph"/>
              <w:numPr>
                <w:ilvl w:val="0"/>
                <w:numId w:val="27"/>
              </w:numPr>
              <w:spacing w:before="60"/>
              <w:contextualSpacing w:val="0"/>
              <w:jc w:val="both"/>
              <w:rPr>
                <w:rFonts w:asciiTheme="minorHAnsi" w:hAnsiTheme="minorHAnsi" w:cstheme="minorHAnsi"/>
                <w:color w:val="002060"/>
                <w:sz w:val="24"/>
                <w:szCs w:val="24"/>
                <w:lang w:val="ro-RO"/>
              </w:rPr>
            </w:pPr>
            <w:r w:rsidRPr="00152984">
              <w:rPr>
                <w:rFonts w:asciiTheme="minorHAnsi" w:hAnsiTheme="minorHAnsi" w:cstheme="minorHAnsi"/>
                <w:color w:val="002060"/>
                <w:sz w:val="24"/>
                <w:szCs w:val="24"/>
                <w:lang w:val="ro-RO"/>
              </w:rPr>
              <w:t xml:space="preserve">Prioritatea </w:t>
            </w:r>
            <w:r w:rsidR="001837FE" w:rsidRPr="00152984">
              <w:rPr>
                <w:rFonts w:asciiTheme="minorHAnsi" w:hAnsiTheme="minorHAnsi" w:cstheme="minorHAnsi"/>
                <w:color w:val="002060"/>
                <w:sz w:val="24"/>
                <w:szCs w:val="24"/>
                <w:lang w:val="ro-RO"/>
              </w:rPr>
              <w:t>7</w:t>
            </w:r>
            <w:r w:rsidR="00941AEB" w:rsidRPr="00152984">
              <w:rPr>
                <w:rFonts w:asciiTheme="minorHAnsi" w:hAnsiTheme="minorHAnsi" w:cstheme="minorHAnsi"/>
                <w:color w:val="002060"/>
                <w:sz w:val="24"/>
                <w:szCs w:val="24"/>
                <w:lang w:val="ro-RO"/>
              </w:rPr>
              <w:t xml:space="preserve"> FEDR</w:t>
            </w:r>
          </w:p>
        </w:tc>
        <w:tc>
          <w:tcPr>
            <w:tcW w:w="574" w:type="pct"/>
          </w:tcPr>
          <w:p w14:paraId="1B991DF4" w14:textId="471DE4B9" w:rsidR="001D57B5" w:rsidRPr="00152984" w:rsidRDefault="001D57B5" w:rsidP="00B172DA">
            <w:pPr>
              <w:spacing w:before="60"/>
              <w:jc w:val="both"/>
              <w:rPr>
                <w:rFonts w:cstheme="minorHAnsi"/>
                <w:color w:val="002060"/>
                <w:sz w:val="24"/>
                <w:szCs w:val="24"/>
              </w:rPr>
            </w:pPr>
            <w:r w:rsidRPr="00152984">
              <w:rPr>
                <w:rFonts w:cstheme="minorHAnsi"/>
                <w:color w:val="002060"/>
                <w:sz w:val="24"/>
                <w:szCs w:val="24"/>
              </w:rPr>
              <w:t>Componenta 12 Investiția 2.2</w:t>
            </w:r>
            <w:r w:rsidR="00B433B7" w:rsidRPr="00152984">
              <w:rPr>
                <w:rFonts w:cstheme="minorHAnsi"/>
                <w:color w:val="002060"/>
                <w:sz w:val="24"/>
                <w:szCs w:val="24"/>
              </w:rPr>
              <w:t>:</w:t>
            </w:r>
            <w:r w:rsidRPr="00152984">
              <w:rPr>
                <w:rFonts w:cstheme="minorHAnsi"/>
                <w:color w:val="002060"/>
                <w:sz w:val="24"/>
                <w:szCs w:val="24"/>
                <w:lang w:eastAsia="en-GB"/>
              </w:rPr>
              <w:t xml:space="preserve"> Echipamente și aparatură medicală</w:t>
            </w:r>
          </w:p>
        </w:tc>
        <w:tc>
          <w:tcPr>
            <w:tcW w:w="2749" w:type="pct"/>
          </w:tcPr>
          <w:p w14:paraId="0F444D32" w14:textId="6B1208E5" w:rsidR="00245587" w:rsidRPr="00152984" w:rsidRDefault="00B433B7" w:rsidP="00B172DA">
            <w:pPr>
              <w:spacing w:before="60"/>
              <w:jc w:val="both"/>
              <w:rPr>
                <w:rFonts w:cstheme="minorHAnsi"/>
                <w:color w:val="002060"/>
                <w:sz w:val="24"/>
                <w:szCs w:val="24"/>
              </w:rPr>
            </w:pPr>
            <w:r w:rsidRPr="00152984">
              <w:rPr>
                <w:rFonts w:cstheme="minorHAnsi"/>
                <w:color w:val="002060"/>
                <w:sz w:val="24"/>
                <w:szCs w:val="24"/>
              </w:rPr>
              <w:t xml:space="preserve">Pentru unitățile sanitare publice noi finanțate din PNRR există </w:t>
            </w:r>
            <w:r w:rsidR="005B5922" w:rsidRPr="00152984">
              <w:rPr>
                <w:rFonts w:cstheme="minorHAnsi"/>
                <w:color w:val="002060"/>
                <w:sz w:val="24"/>
                <w:szCs w:val="24"/>
              </w:rPr>
              <w:t>pos</w:t>
            </w:r>
            <w:r w:rsidRPr="00152984">
              <w:rPr>
                <w:rFonts w:cstheme="minorHAnsi"/>
                <w:color w:val="002060"/>
                <w:sz w:val="24"/>
                <w:szCs w:val="24"/>
              </w:rPr>
              <w:t>ibilitatea de a primi finanțare tot din PNRR pentru e</w:t>
            </w:r>
            <w:r w:rsidRPr="00152984">
              <w:rPr>
                <w:rFonts w:cstheme="minorHAnsi"/>
                <w:color w:val="002060"/>
                <w:sz w:val="24"/>
                <w:szCs w:val="24"/>
                <w:lang w:eastAsia="en-GB"/>
              </w:rPr>
              <w:t>chipamente și aparatură medicală pentru acestea. De asemenea, a</w:t>
            </w:r>
            <w:r w:rsidR="00256C5C" w:rsidRPr="00152984">
              <w:rPr>
                <w:rFonts w:cstheme="minorHAnsi"/>
                <w:color w:val="002060"/>
                <w:sz w:val="24"/>
                <w:szCs w:val="24"/>
              </w:rPr>
              <w:t>ceste</w:t>
            </w:r>
            <w:r w:rsidRPr="00152984">
              <w:rPr>
                <w:rFonts w:cstheme="minorHAnsi"/>
                <w:color w:val="002060"/>
                <w:sz w:val="24"/>
                <w:szCs w:val="24"/>
              </w:rPr>
              <w:t xml:space="preserve"> unități</w:t>
            </w:r>
            <w:r w:rsidR="00256C5C" w:rsidRPr="00152984">
              <w:rPr>
                <w:rFonts w:cstheme="minorHAnsi"/>
                <w:color w:val="002060"/>
                <w:sz w:val="24"/>
                <w:szCs w:val="24"/>
              </w:rPr>
              <w:t xml:space="preserve"> pot beneficia de finanțare </w:t>
            </w:r>
            <w:r w:rsidR="00245587" w:rsidRPr="00152984">
              <w:rPr>
                <w:rFonts w:cstheme="minorHAnsi"/>
                <w:color w:val="002060"/>
                <w:sz w:val="24"/>
                <w:szCs w:val="24"/>
              </w:rPr>
              <w:t xml:space="preserve">pentru dotarea cu echipamente </w:t>
            </w:r>
            <w:r w:rsidR="00256C5C" w:rsidRPr="00152984">
              <w:rPr>
                <w:rFonts w:cstheme="minorHAnsi"/>
                <w:color w:val="002060"/>
                <w:sz w:val="24"/>
                <w:szCs w:val="24"/>
              </w:rPr>
              <w:t xml:space="preserve">din cadrul </w:t>
            </w:r>
            <w:r w:rsidR="005B5922" w:rsidRPr="00152984">
              <w:rPr>
                <w:rFonts w:cstheme="minorHAnsi"/>
                <w:color w:val="002060"/>
                <w:sz w:val="24"/>
                <w:szCs w:val="24"/>
              </w:rPr>
              <w:t>PS</w:t>
            </w:r>
            <w:r w:rsidR="00591255" w:rsidRPr="00152984">
              <w:rPr>
                <w:rFonts w:cstheme="minorHAnsi"/>
                <w:color w:val="002060"/>
                <w:sz w:val="24"/>
                <w:szCs w:val="24"/>
              </w:rPr>
              <w:t xml:space="preserve"> pe anumite </w:t>
            </w:r>
            <w:r w:rsidRPr="00152984">
              <w:rPr>
                <w:rFonts w:cstheme="minorHAnsi"/>
                <w:color w:val="002060"/>
                <w:sz w:val="24"/>
                <w:szCs w:val="24"/>
              </w:rPr>
              <w:t>măsuri în cadrul diferitelor priorități</w:t>
            </w:r>
            <w:r w:rsidR="00EE4435" w:rsidRPr="00152984">
              <w:rPr>
                <w:rFonts w:cstheme="minorHAnsi"/>
                <w:color w:val="002060"/>
                <w:sz w:val="24"/>
                <w:szCs w:val="24"/>
              </w:rPr>
              <w:t>, cu condiția respectării evitării dublei finanțări reglementată de legislația națională în vigoare</w:t>
            </w:r>
            <w:r w:rsidRPr="00152984">
              <w:rPr>
                <w:rFonts w:cstheme="minorHAnsi"/>
                <w:color w:val="002060"/>
                <w:sz w:val="24"/>
                <w:szCs w:val="24"/>
              </w:rPr>
              <w:t xml:space="preserve">, </w:t>
            </w:r>
            <w:r w:rsidR="00EE4435" w:rsidRPr="00152984">
              <w:rPr>
                <w:rFonts w:cstheme="minorHAnsi"/>
                <w:color w:val="002060"/>
                <w:sz w:val="24"/>
                <w:szCs w:val="24"/>
              </w:rPr>
              <w:t xml:space="preserve">cât și </w:t>
            </w:r>
            <w:r w:rsidR="00C32D87" w:rsidRPr="00152984">
              <w:rPr>
                <w:rFonts w:cstheme="minorHAnsi"/>
                <w:color w:val="002060"/>
                <w:sz w:val="24"/>
                <w:szCs w:val="24"/>
              </w:rPr>
              <w:t xml:space="preserve">de </w:t>
            </w:r>
            <w:r w:rsidR="00EE4435" w:rsidRPr="00152984">
              <w:rPr>
                <w:rFonts w:cstheme="minorHAnsi"/>
                <w:color w:val="002060"/>
                <w:sz w:val="24"/>
                <w:szCs w:val="24"/>
              </w:rPr>
              <w:t>cea europeană.</w:t>
            </w:r>
          </w:p>
          <w:p w14:paraId="7608AAE5" w14:textId="2C8FFF91" w:rsidR="0010498A" w:rsidRPr="00152984" w:rsidRDefault="00941AEB" w:rsidP="00B172DA">
            <w:pPr>
              <w:spacing w:before="60"/>
              <w:jc w:val="both"/>
              <w:rPr>
                <w:rFonts w:cstheme="minorHAnsi"/>
                <w:color w:val="002060"/>
                <w:sz w:val="24"/>
                <w:szCs w:val="24"/>
              </w:rPr>
            </w:pPr>
            <w:r w:rsidRPr="00152984">
              <w:rPr>
                <w:rFonts w:cstheme="minorHAnsi"/>
                <w:color w:val="002060"/>
                <w:sz w:val="24"/>
                <w:szCs w:val="24"/>
              </w:rPr>
              <w:t xml:space="preserve"> </w:t>
            </w:r>
            <w:r w:rsidR="00B433B7" w:rsidRPr="00152984">
              <w:rPr>
                <w:rFonts w:cstheme="minorHAnsi"/>
                <w:color w:val="002060"/>
                <w:sz w:val="24"/>
                <w:szCs w:val="24"/>
              </w:rPr>
              <w:t xml:space="preserve">Măsurile avute în vedere pentru evitarea dublei finanțări sunt prezentate în documentul </w:t>
            </w:r>
            <w:r w:rsidR="00B433B7" w:rsidRPr="00152984">
              <w:rPr>
                <w:rFonts w:cstheme="minorHAnsi"/>
                <w:i/>
                <w:iCs/>
                <w:color w:val="002060"/>
                <w:sz w:val="24"/>
                <w:szCs w:val="24"/>
              </w:rPr>
              <w:t xml:space="preserve">Mecanism de evitare dubla finanțare </w:t>
            </w:r>
            <w:r w:rsidR="005B5922" w:rsidRPr="00152984">
              <w:rPr>
                <w:rFonts w:cstheme="minorHAnsi"/>
                <w:i/>
                <w:iCs/>
                <w:color w:val="002060"/>
                <w:sz w:val="24"/>
                <w:szCs w:val="24"/>
              </w:rPr>
              <w:t>PS</w:t>
            </w:r>
            <w:r w:rsidR="00B433B7" w:rsidRPr="00152984">
              <w:rPr>
                <w:rFonts w:cstheme="minorHAnsi"/>
                <w:i/>
                <w:iCs/>
                <w:color w:val="002060"/>
                <w:sz w:val="24"/>
                <w:szCs w:val="24"/>
              </w:rPr>
              <w:t xml:space="preserve"> PNRR atașat </w:t>
            </w:r>
            <w:r w:rsidR="005B5922" w:rsidRPr="00152984">
              <w:rPr>
                <w:rFonts w:cstheme="minorHAnsi"/>
                <w:i/>
                <w:iCs/>
                <w:color w:val="002060"/>
                <w:sz w:val="24"/>
                <w:szCs w:val="24"/>
              </w:rPr>
              <w:t>PS</w:t>
            </w:r>
            <w:r w:rsidR="00B433B7" w:rsidRPr="00152984">
              <w:rPr>
                <w:rFonts w:cstheme="minorHAnsi"/>
                <w:color w:val="002060"/>
                <w:sz w:val="24"/>
                <w:szCs w:val="24"/>
              </w:rPr>
              <w:t xml:space="preserve"> </w:t>
            </w:r>
          </w:p>
        </w:tc>
      </w:tr>
      <w:tr w:rsidR="005B5922" w:rsidRPr="005B5922" w14:paraId="79500566" w14:textId="77777777" w:rsidTr="00327292">
        <w:trPr>
          <w:trHeight w:val="534"/>
        </w:trPr>
        <w:tc>
          <w:tcPr>
            <w:tcW w:w="501" w:type="pct"/>
            <w:gridSpan w:val="2"/>
          </w:tcPr>
          <w:p w14:paraId="0ACAA79A" w14:textId="06251158" w:rsidR="001D57B5" w:rsidRPr="005B5922" w:rsidRDefault="009B6196" w:rsidP="00B172DA">
            <w:pPr>
              <w:spacing w:before="60"/>
              <w:jc w:val="both"/>
              <w:rPr>
                <w:rFonts w:cstheme="minorHAnsi"/>
                <w:color w:val="002060"/>
                <w:sz w:val="24"/>
                <w:szCs w:val="24"/>
                <w:lang w:eastAsia="en-GB"/>
              </w:rPr>
            </w:pPr>
            <w:r w:rsidRPr="005B5922">
              <w:rPr>
                <w:rFonts w:cstheme="minorHAnsi"/>
                <w:color w:val="002060"/>
                <w:sz w:val="24"/>
                <w:szCs w:val="24"/>
                <w:lang w:eastAsia="en-GB"/>
              </w:rPr>
              <w:t>Pacient critic copii</w:t>
            </w:r>
          </w:p>
        </w:tc>
        <w:tc>
          <w:tcPr>
            <w:tcW w:w="1176" w:type="pct"/>
          </w:tcPr>
          <w:p w14:paraId="27198D3B" w14:textId="21F2A30E" w:rsidR="00245587"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245587" w:rsidRPr="005B5922">
              <w:rPr>
                <w:rFonts w:cstheme="minorHAnsi"/>
                <w:color w:val="002060"/>
                <w:sz w:val="24"/>
                <w:szCs w:val="24"/>
              </w:rPr>
              <w:t xml:space="preserve"> FSE+</w:t>
            </w:r>
          </w:p>
          <w:p w14:paraId="1A4BCE8D" w14:textId="34322F74" w:rsidR="00245587" w:rsidRPr="005B5922" w:rsidRDefault="00245587" w:rsidP="00B172DA">
            <w:pPr>
              <w:pStyle w:val="ListParagraph"/>
              <w:numPr>
                <w:ilvl w:val="0"/>
                <w:numId w:val="27"/>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1 FSE+</w:t>
            </w:r>
          </w:p>
          <w:p w14:paraId="455CF15F" w14:textId="77777777" w:rsidR="001D57B5" w:rsidRPr="005B5922" w:rsidRDefault="001D57B5" w:rsidP="00B172DA">
            <w:pPr>
              <w:spacing w:before="60"/>
              <w:jc w:val="both"/>
              <w:rPr>
                <w:rFonts w:cstheme="minorHAnsi"/>
                <w:color w:val="002060"/>
                <w:sz w:val="24"/>
                <w:szCs w:val="24"/>
              </w:rPr>
            </w:pPr>
          </w:p>
        </w:tc>
        <w:tc>
          <w:tcPr>
            <w:tcW w:w="574" w:type="pct"/>
          </w:tcPr>
          <w:p w14:paraId="26EBCFD6" w14:textId="045334FC" w:rsidR="001D57B5" w:rsidRPr="005B5922" w:rsidRDefault="001D57B5" w:rsidP="00B172DA">
            <w:pPr>
              <w:spacing w:before="60"/>
              <w:jc w:val="both"/>
              <w:rPr>
                <w:rFonts w:cstheme="minorHAnsi"/>
                <w:color w:val="002060"/>
                <w:sz w:val="24"/>
                <w:szCs w:val="24"/>
              </w:rPr>
            </w:pPr>
            <w:r w:rsidRPr="005B5922">
              <w:rPr>
                <w:rFonts w:cstheme="minorHAnsi"/>
                <w:color w:val="002060"/>
                <w:sz w:val="24"/>
                <w:szCs w:val="24"/>
              </w:rPr>
              <w:t>Secții de terapie intensivă pentru nou-născuți Componenta 12 Investiția 2.3</w:t>
            </w:r>
            <w:r w:rsidR="00245587" w:rsidRPr="005B5922">
              <w:rPr>
                <w:rFonts w:cstheme="minorHAnsi"/>
                <w:color w:val="002060"/>
                <w:sz w:val="24"/>
                <w:szCs w:val="24"/>
              </w:rPr>
              <w:t>:</w:t>
            </w:r>
            <w:r w:rsidR="00276E2E" w:rsidRPr="005B5922">
              <w:rPr>
                <w:rFonts w:cstheme="minorHAnsi"/>
                <w:color w:val="002060"/>
                <w:sz w:val="24"/>
                <w:szCs w:val="24"/>
              </w:rPr>
              <w:t xml:space="preserve"> Secții de terapie intensivă pentru nou-născuți</w:t>
            </w:r>
          </w:p>
        </w:tc>
        <w:tc>
          <w:tcPr>
            <w:tcW w:w="2749" w:type="pct"/>
          </w:tcPr>
          <w:p w14:paraId="1B8C8827" w14:textId="240356AB" w:rsidR="001D57B5" w:rsidRPr="005B5922" w:rsidRDefault="00245587" w:rsidP="00B172DA">
            <w:pPr>
              <w:spacing w:before="60"/>
              <w:jc w:val="both"/>
              <w:rPr>
                <w:rFonts w:cstheme="minorHAnsi"/>
                <w:color w:val="002060"/>
                <w:sz w:val="24"/>
                <w:szCs w:val="24"/>
              </w:rPr>
            </w:pPr>
            <w:r w:rsidRPr="005B5922">
              <w:rPr>
                <w:rFonts w:cstheme="minorHAnsi"/>
                <w:color w:val="002060"/>
                <w:sz w:val="24"/>
                <w:szCs w:val="24"/>
              </w:rPr>
              <w:t xml:space="preserve">Deși </w:t>
            </w:r>
            <w:r w:rsidR="005B5922" w:rsidRPr="005B5922">
              <w:rPr>
                <w:rFonts w:cstheme="minorHAnsi"/>
                <w:color w:val="002060"/>
                <w:sz w:val="24"/>
                <w:szCs w:val="24"/>
              </w:rPr>
              <w:t>PS</w:t>
            </w:r>
            <w:r w:rsidR="001D57B5" w:rsidRPr="005B5922">
              <w:rPr>
                <w:rFonts w:cstheme="minorHAnsi"/>
                <w:color w:val="002060"/>
                <w:sz w:val="24"/>
                <w:szCs w:val="24"/>
              </w:rPr>
              <w:t xml:space="preserve"> nu finanțează</w:t>
            </w:r>
            <w:r w:rsidRPr="005B5922">
              <w:rPr>
                <w:rFonts w:cstheme="minorHAnsi"/>
                <w:color w:val="002060"/>
                <w:sz w:val="24"/>
                <w:szCs w:val="24"/>
              </w:rPr>
              <w:t xml:space="preserve"> investiții de tip FEDR pentru secțiile de terapie intensivă pentru nou-născuți, </w:t>
            </w:r>
            <w:r w:rsidR="00157EFE" w:rsidRPr="005B5922">
              <w:rPr>
                <w:rFonts w:cstheme="minorHAnsi"/>
                <w:color w:val="002060"/>
                <w:sz w:val="24"/>
                <w:szCs w:val="24"/>
              </w:rPr>
              <w:t xml:space="preserve">în cadrul Priorității 1 din </w:t>
            </w:r>
            <w:r w:rsidR="005B5922" w:rsidRPr="005B5922">
              <w:rPr>
                <w:rFonts w:cstheme="minorHAnsi"/>
                <w:color w:val="002060"/>
                <w:sz w:val="24"/>
                <w:szCs w:val="24"/>
              </w:rPr>
              <w:t>PS</w:t>
            </w:r>
            <w:r w:rsidR="00157EFE" w:rsidRPr="005B5922">
              <w:rPr>
                <w:rFonts w:cstheme="minorHAnsi"/>
                <w:color w:val="002060"/>
                <w:sz w:val="24"/>
                <w:szCs w:val="24"/>
              </w:rPr>
              <w:t xml:space="preserve">: </w:t>
            </w:r>
            <w:r w:rsidR="00157EFE" w:rsidRPr="005B5922">
              <w:rPr>
                <w:rFonts w:cstheme="minorHAnsi"/>
                <w:i/>
                <w:iCs/>
                <w:color w:val="002060"/>
                <w:sz w:val="24"/>
                <w:szCs w:val="24"/>
              </w:rPr>
              <w:t xml:space="preserve">Implementarea de măsuri privind sănătatea mamei și nou-născutului/ copilului pentru GV: Implementarea de programe de urmărire, îngrijire a sarcinii și </w:t>
            </w:r>
            <w:r w:rsidR="00157EFE" w:rsidRPr="005B5922">
              <w:rPr>
                <w:rFonts w:cstheme="minorHAnsi"/>
                <w:i/>
                <w:iCs/>
                <w:color w:val="002060"/>
                <w:sz w:val="24"/>
                <w:szCs w:val="24"/>
                <w:u w:val="single"/>
              </w:rPr>
              <w:t>nou-născutului și copilului mic</w:t>
            </w:r>
            <w:r w:rsidR="00157EFE" w:rsidRPr="005B5922">
              <w:rPr>
                <w:rFonts w:cstheme="minorHAnsi"/>
                <w:color w:val="002060"/>
                <w:sz w:val="24"/>
                <w:szCs w:val="24"/>
              </w:rPr>
              <w:t xml:space="preserve"> – vor fi finanțate programe de formare pentru personalul care lucrează în aceste secții. </w:t>
            </w:r>
          </w:p>
        </w:tc>
      </w:tr>
      <w:tr w:rsidR="005B5922" w:rsidRPr="005B5922" w14:paraId="4119763B" w14:textId="77777777" w:rsidTr="00327292">
        <w:tc>
          <w:tcPr>
            <w:tcW w:w="501" w:type="pct"/>
            <w:gridSpan w:val="2"/>
          </w:tcPr>
          <w:p w14:paraId="22B9322E" w14:textId="77777777" w:rsidR="00961113" w:rsidRPr="005B5922" w:rsidRDefault="00961113" w:rsidP="00B172DA">
            <w:pPr>
              <w:spacing w:before="60"/>
              <w:jc w:val="both"/>
              <w:rPr>
                <w:rFonts w:cstheme="minorHAnsi"/>
                <w:color w:val="002060"/>
                <w:sz w:val="24"/>
                <w:szCs w:val="24"/>
                <w:lang w:eastAsia="en-GB"/>
              </w:rPr>
            </w:pPr>
            <w:r w:rsidRPr="005B5922">
              <w:rPr>
                <w:rFonts w:cstheme="minorHAnsi"/>
                <w:color w:val="002060"/>
                <w:sz w:val="24"/>
                <w:szCs w:val="24"/>
              </w:rPr>
              <w:t xml:space="preserve">Echipamente și materiale destinate reducerii riscului de </w:t>
            </w:r>
            <w:r w:rsidRPr="005B5922">
              <w:rPr>
                <w:rFonts w:cstheme="minorHAnsi"/>
                <w:color w:val="002060"/>
                <w:sz w:val="24"/>
                <w:szCs w:val="24"/>
              </w:rPr>
              <w:lastRenderedPageBreak/>
              <w:t xml:space="preserve">infecții </w:t>
            </w:r>
            <w:proofErr w:type="spellStart"/>
            <w:r w:rsidRPr="005B5922">
              <w:rPr>
                <w:rFonts w:cstheme="minorHAnsi"/>
                <w:color w:val="002060"/>
                <w:sz w:val="24"/>
                <w:szCs w:val="24"/>
              </w:rPr>
              <w:t>nosocomiale</w:t>
            </w:r>
            <w:proofErr w:type="spellEnd"/>
            <w:r w:rsidRPr="005B5922">
              <w:rPr>
                <w:rFonts w:cstheme="minorHAnsi"/>
                <w:color w:val="002060"/>
                <w:sz w:val="24"/>
                <w:szCs w:val="24"/>
              </w:rPr>
              <w:t xml:space="preserve"> </w:t>
            </w:r>
          </w:p>
          <w:p w14:paraId="069AC3DF" w14:textId="35C6D6B8" w:rsidR="00961113" w:rsidRPr="005B5922" w:rsidRDefault="00961113" w:rsidP="00B172DA">
            <w:pPr>
              <w:spacing w:before="60"/>
              <w:jc w:val="both"/>
              <w:rPr>
                <w:rFonts w:cstheme="minorHAnsi"/>
                <w:color w:val="002060"/>
                <w:sz w:val="24"/>
                <w:szCs w:val="24"/>
                <w:lang w:eastAsia="en-GB"/>
              </w:rPr>
            </w:pPr>
          </w:p>
        </w:tc>
        <w:tc>
          <w:tcPr>
            <w:tcW w:w="1176" w:type="pct"/>
          </w:tcPr>
          <w:p w14:paraId="756B2325" w14:textId="12A3480C" w:rsidR="00157EFE" w:rsidRPr="005B5922" w:rsidRDefault="005B5922" w:rsidP="00B172DA">
            <w:pPr>
              <w:spacing w:before="60"/>
              <w:jc w:val="both"/>
              <w:rPr>
                <w:rFonts w:cstheme="minorHAnsi"/>
                <w:color w:val="002060"/>
                <w:sz w:val="24"/>
                <w:szCs w:val="24"/>
              </w:rPr>
            </w:pPr>
            <w:r w:rsidRPr="005B5922">
              <w:rPr>
                <w:rFonts w:cstheme="minorHAnsi"/>
                <w:color w:val="002060"/>
                <w:sz w:val="24"/>
                <w:szCs w:val="24"/>
              </w:rPr>
              <w:lastRenderedPageBreak/>
              <w:t>PS</w:t>
            </w:r>
            <w:r w:rsidR="00157EFE" w:rsidRPr="005B5922">
              <w:rPr>
                <w:rFonts w:cstheme="minorHAnsi"/>
                <w:color w:val="002060"/>
                <w:sz w:val="24"/>
                <w:szCs w:val="24"/>
              </w:rPr>
              <w:t xml:space="preserve"> FSE+</w:t>
            </w:r>
          </w:p>
          <w:p w14:paraId="2A303C34" w14:textId="777837DF" w:rsidR="00157EFE" w:rsidRPr="005B5922" w:rsidRDefault="00157EFE" w:rsidP="00B172DA">
            <w:pPr>
              <w:pStyle w:val="ListParagraph"/>
              <w:numPr>
                <w:ilvl w:val="0"/>
                <w:numId w:val="27"/>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3 FEDR/ FSE+</w:t>
            </w:r>
          </w:p>
          <w:p w14:paraId="5EC1E6D8" w14:textId="77777777" w:rsidR="00961113" w:rsidRPr="005B5922" w:rsidRDefault="00961113" w:rsidP="00B172DA">
            <w:pPr>
              <w:spacing w:before="60"/>
              <w:jc w:val="both"/>
              <w:rPr>
                <w:rFonts w:cstheme="minorHAnsi"/>
                <w:color w:val="002060"/>
                <w:sz w:val="24"/>
                <w:szCs w:val="24"/>
              </w:rPr>
            </w:pPr>
          </w:p>
        </w:tc>
        <w:tc>
          <w:tcPr>
            <w:tcW w:w="574" w:type="pct"/>
          </w:tcPr>
          <w:p w14:paraId="69B14A44" w14:textId="77777777" w:rsidR="00961113" w:rsidRPr="005B5922" w:rsidRDefault="00961113" w:rsidP="00B172DA">
            <w:pPr>
              <w:spacing w:before="60"/>
              <w:jc w:val="both"/>
              <w:rPr>
                <w:rFonts w:cstheme="minorHAnsi"/>
                <w:color w:val="002060"/>
                <w:sz w:val="24"/>
                <w:szCs w:val="24"/>
              </w:rPr>
            </w:pPr>
            <w:r w:rsidRPr="005B5922">
              <w:rPr>
                <w:rFonts w:cstheme="minorHAnsi"/>
                <w:color w:val="002060"/>
                <w:sz w:val="24"/>
                <w:szCs w:val="24"/>
              </w:rPr>
              <w:t>Componenta 12 Investiția 2.4</w:t>
            </w:r>
            <w:r w:rsidR="00157EFE" w:rsidRPr="005B5922">
              <w:rPr>
                <w:rFonts w:cstheme="minorHAnsi"/>
                <w:color w:val="002060"/>
                <w:sz w:val="24"/>
                <w:szCs w:val="24"/>
              </w:rPr>
              <w:t>:</w:t>
            </w:r>
            <w:r w:rsidR="00276E2E" w:rsidRPr="005B5922">
              <w:rPr>
                <w:rFonts w:cstheme="minorHAnsi"/>
                <w:color w:val="002060"/>
                <w:sz w:val="24"/>
                <w:szCs w:val="24"/>
              </w:rPr>
              <w:t xml:space="preserve"> Echipamente și materiale destinate </w:t>
            </w:r>
            <w:r w:rsidR="00276E2E" w:rsidRPr="005B5922">
              <w:rPr>
                <w:rFonts w:cstheme="minorHAnsi"/>
                <w:color w:val="002060"/>
                <w:sz w:val="24"/>
                <w:szCs w:val="24"/>
              </w:rPr>
              <w:lastRenderedPageBreak/>
              <w:t xml:space="preserve">reducerii riscului de infecții </w:t>
            </w:r>
            <w:proofErr w:type="spellStart"/>
            <w:r w:rsidR="00276E2E" w:rsidRPr="005B5922">
              <w:rPr>
                <w:rFonts w:cstheme="minorHAnsi"/>
                <w:color w:val="002060"/>
                <w:sz w:val="24"/>
                <w:szCs w:val="24"/>
              </w:rPr>
              <w:t>nosocomiale</w:t>
            </w:r>
            <w:proofErr w:type="spellEnd"/>
          </w:p>
          <w:p w14:paraId="75C86B88" w14:textId="7809F09D" w:rsidR="00CE1DCC" w:rsidRPr="005B5922" w:rsidRDefault="00CE1DCC" w:rsidP="00B172DA">
            <w:pPr>
              <w:pStyle w:val="Default"/>
              <w:spacing w:before="60"/>
              <w:jc w:val="both"/>
              <w:rPr>
                <w:rFonts w:asciiTheme="minorHAnsi" w:hAnsiTheme="minorHAnsi" w:cstheme="minorHAnsi"/>
                <w:color w:val="002060"/>
              </w:rPr>
            </w:pPr>
            <w:r w:rsidRPr="005B5922">
              <w:rPr>
                <w:rFonts w:asciiTheme="minorHAnsi" w:hAnsiTheme="minorHAnsi" w:cstheme="minorHAnsi"/>
                <w:color w:val="002060"/>
              </w:rPr>
              <w:t xml:space="preserve">150,38 mil. euro) </w:t>
            </w:r>
          </w:p>
          <w:p w14:paraId="3B13058A" w14:textId="24D247E1" w:rsidR="00CE1DCC" w:rsidRPr="005B5922" w:rsidRDefault="00CE1DCC" w:rsidP="00B172DA">
            <w:pPr>
              <w:spacing w:before="60"/>
              <w:jc w:val="both"/>
              <w:rPr>
                <w:rFonts w:cstheme="minorHAnsi"/>
                <w:color w:val="002060"/>
                <w:sz w:val="24"/>
                <w:szCs w:val="24"/>
              </w:rPr>
            </w:pPr>
            <w:r w:rsidRPr="005B5922">
              <w:rPr>
                <w:rFonts w:cstheme="minorHAnsi"/>
                <w:color w:val="002060"/>
                <w:sz w:val="24"/>
                <w:szCs w:val="24"/>
              </w:rPr>
              <w:t>Investiții în dotarea spitalelor publice cu echipamente și materiale destinate reducerii riscului de infecții asociate asistenței medicale.</w:t>
            </w:r>
          </w:p>
        </w:tc>
        <w:tc>
          <w:tcPr>
            <w:tcW w:w="2749" w:type="pct"/>
          </w:tcPr>
          <w:p w14:paraId="73E64DCD" w14:textId="5980685E" w:rsidR="00157EFE" w:rsidRPr="005B5922" w:rsidRDefault="00CE1DCC" w:rsidP="00B172DA">
            <w:pPr>
              <w:spacing w:before="60"/>
              <w:jc w:val="both"/>
              <w:rPr>
                <w:rFonts w:cstheme="minorHAnsi"/>
                <w:color w:val="002060"/>
                <w:sz w:val="24"/>
                <w:szCs w:val="24"/>
              </w:rPr>
            </w:pPr>
            <w:r w:rsidRPr="005B5922">
              <w:rPr>
                <w:rFonts w:cstheme="minorHAnsi"/>
                <w:color w:val="002060"/>
                <w:sz w:val="24"/>
                <w:szCs w:val="24"/>
              </w:rPr>
              <w:lastRenderedPageBreak/>
              <w:t>PNRR va aloca 150 mil euro pentru dotarea spitalelor publice cu echipamente și materiale destinate reducerii riscului de infecții asociate asistenței medicale.</w:t>
            </w:r>
          </w:p>
          <w:p w14:paraId="16290B60" w14:textId="7C22545C" w:rsidR="00CE1DCC" w:rsidRPr="005B5922" w:rsidRDefault="00CE1DCC" w:rsidP="00B172DA">
            <w:pPr>
              <w:spacing w:before="60"/>
              <w:jc w:val="both"/>
              <w:rPr>
                <w:rFonts w:cstheme="minorHAnsi"/>
                <w:color w:val="002060"/>
                <w:sz w:val="24"/>
                <w:szCs w:val="24"/>
              </w:rPr>
            </w:pPr>
            <w:r w:rsidRPr="005B5922">
              <w:rPr>
                <w:rFonts w:cstheme="minorHAnsi"/>
                <w:color w:val="002060"/>
                <w:sz w:val="24"/>
                <w:szCs w:val="24"/>
              </w:rPr>
              <w:t xml:space="preserve">Deși </w:t>
            </w:r>
            <w:r w:rsidR="005B5922" w:rsidRPr="005B5922">
              <w:rPr>
                <w:rFonts w:cstheme="minorHAnsi"/>
                <w:color w:val="002060"/>
                <w:sz w:val="24"/>
                <w:szCs w:val="24"/>
              </w:rPr>
              <w:t>PS</w:t>
            </w:r>
            <w:r w:rsidRPr="005B5922">
              <w:rPr>
                <w:rFonts w:cstheme="minorHAnsi"/>
                <w:color w:val="002060"/>
                <w:sz w:val="24"/>
                <w:szCs w:val="24"/>
              </w:rPr>
              <w:t xml:space="preserve"> nu finanțează astfel de investiții, prin prioritatea 3:</w:t>
            </w:r>
          </w:p>
          <w:p w14:paraId="5B2910AA" w14:textId="77777777" w:rsidR="00CE1DCC" w:rsidRPr="005B5922" w:rsidRDefault="00CE1DCC" w:rsidP="00B172DA">
            <w:pPr>
              <w:pStyle w:val="ListParagraph"/>
              <w:numPr>
                <w:ilvl w:val="0"/>
                <w:numId w:val="29"/>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lastRenderedPageBreak/>
              <w:t>FEDR se vor susține i</w:t>
            </w:r>
            <w:r w:rsidRPr="005B5922">
              <w:rPr>
                <w:rFonts w:asciiTheme="minorHAnsi" w:eastAsia="Times New Roman" w:hAnsiTheme="minorHAnsi" w:cstheme="minorHAnsi"/>
                <w:color w:val="002060"/>
                <w:sz w:val="24"/>
                <w:szCs w:val="24"/>
                <w:lang w:val="ro-RO"/>
              </w:rPr>
              <w:t>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 laboratoare naționale de referință și laboratoare de microbiologie din cadrul spitalelor</w:t>
            </w:r>
          </w:p>
          <w:p w14:paraId="6C48C71C" w14:textId="68464986" w:rsidR="00CE1DCC" w:rsidRPr="005B5922" w:rsidRDefault="00CE1DCC" w:rsidP="00B172DA">
            <w:pPr>
              <w:pStyle w:val="ListParagraph"/>
              <w:numPr>
                <w:ilvl w:val="0"/>
                <w:numId w:val="29"/>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 xml:space="preserve">FSE+  se vor susține măsuri precum: dezvoltarea de instrumente de lucru/ formarea personalului – asigurându-se astfel complementaritatea  cu măsurile de tip FEDR finanțate din </w:t>
            </w:r>
            <w:r w:rsidR="005B5922" w:rsidRPr="005B5922">
              <w:rPr>
                <w:rFonts w:asciiTheme="minorHAnsi" w:hAnsiTheme="minorHAnsi" w:cstheme="minorHAnsi"/>
                <w:color w:val="002060"/>
                <w:sz w:val="24"/>
                <w:szCs w:val="24"/>
                <w:lang w:val="ro-RO"/>
              </w:rPr>
              <w:t>PS</w:t>
            </w:r>
          </w:p>
          <w:p w14:paraId="2E30CF84" w14:textId="77777777" w:rsidR="00CE1DCC" w:rsidRPr="005B5922" w:rsidRDefault="00CE1DCC" w:rsidP="00B172DA">
            <w:pPr>
              <w:spacing w:before="60"/>
              <w:jc w:val="both"/>
              <w:rPr>
                <w:rFonts w:cstheme="minorHAnsi"/>
                <w:color w:val="002060"/>
                <w:sz w:val="24"/>
                <w:szCs w:val="24"/>
              </w:rPr>
            </w:pPr>
          </w:p>
          <w:p w14:paraId="7A58F0C4" w14:textId="1975E252" w:rsidR="00961113" w:rsidRPr="005B5922" w:rsidRDefault="00922447" w:rsidP="00B172DA">
            <w:pPr>
              <w:spacing w:before="60"/>
              <w:jc w:val="both"/>
              <w:rPr>
                <w:rFonts w:cstheme="minorHAnsi"/>
                <w:color w:val="002060"/>
                <w:sz w:val="24"/>
                <w:szCs w:val="24"/>
              </w:rPr>
            </w:pPr>
            <w:r w:rsidRPr="005B5922">
              <w:rPr>
                <w:rFonts w:cstheme="minorHAnsi"/>
                <w:color w:val="002060"/>
                <w:sz w:val="24"/>
                <w:szCs w:val="24"/>
              </w:rPr>
              <w:t xml:space="preserve">Prin urmare, deși nu susțin aceleași tipuri de investiții, investițiile din cele 2 surse de finanțare. Prin PNRR se asigură premisele reducerii riscului de infecții asociate asistenței medicale, iar prin investițiile din </w:t>
            </w:r>
            <w:r w:rsidR="005B5922" w:rsidRPr="005B5922">
              <w:rPr>
                <w:rFonts w:cstheme="minorHAnsi"/>
                <w:color w:val="002060"/>
                <w:sz w:val="24"/>
                <w:szCs w:val="24"/>
              </w:rPr>
              <w:t>PS</w:t>
            </w:r>
            <w:r w:rsidRPr="005B5922">
              <w:rPr>
                <w:rFonts w:cstheme="minorHAnsi"/>
                <w:color w:val="002060"/>
                <w:sz w:val="24"/>
                <w:szCs w:val="24"/>
              </w:rPr>
              <w:t xml:space="preserve"> vor fi întărite </w:t>
            </w:r>
            <w:r w:rsidRPr="005B5922">
              <w:rPr>
                <w:rFonts w:cstheme="minorHAnsi"/>
                <w:i/>
                <w:iCs/>
                <w:color w:val="002060"/>
                <w:sz w:val="24"/>
                <w:szCs w:val="24"/>
              </w:rPr>
              <w:t>structurile sanitare care au atribuții în prevenirea, controlul, diagnosticul și supravegherea bolilor transmisibile, precum și în controlul și supravegherea infecțiilor asociate actului medical și a celor implicate în sănătatea publică.</w:t>
            </w:r>
          </w:p>
        </w:tc>
      </w:tr>
      <w:tr w:rsidR="005B5922" w:rsidRPr="005B5922" w14:paraId="72C72F21" w14:textId="77777777" w:rsidTr="00327292">
        <w:tc>
          <w:tcPr>
            <w:tcW w:w="501" w:type="pct"/>
            <w:gridSpan w:val="2"/>
          </w:tcPr>
          <w:p w14:paraId="38A1AF8F" w14:textId="2B475726" w:rsidR="00961113" w:rsidRPr="005B5922" w:rsidRDefault="00483D00" w:rsidP="00B172DA">
            <w:pPr>
              <w:spacing w:before="60"/>
              <w:jc w:val="both"/>
              <w:rPr>
                <w:rFonts w:cstheme="minorHAnsi"/>
                <w:color w:val="002060"/>
                <w:sz w:val="24"/>
                <w:szCs w:val="24"/>
              </w:rPr>
            </w:pPr>
            <w:r w:rsidRPr="005B5922">
              <w:rPr>
                <w:rFonts w:cstheme="minorHAnsi"/>
                <w:color w:val="002060"/>
                <w:sz w:val="24"/>
                <w:szCs w:val="24"/>
              </w:rPr>
              <w:lastRenderedPageBreak/>
              <w:t>R</w:t>
            </w:r>
            <w:r w:rsidR="00961113" w:rsidRPr="005B5922">
              <w:rPr>
                <w:rFonts w:cstheme="minorHAnsi"/>
                <w:color w:val="002060"/>
                <w:sz w:val="24"/>
                <w:szCs w:val="24"/>
              </w:rPr>
              <w:t>eabilitare/ modernizare unități medicale publice</w:t>
            </w:r>
          </w:p>
        </w:tc>
        <w:tc>
          <w:tcPr>
            <w:tcW w:w="1176" w:type="pct"/>
          </w:tcPr>
          <w:p w14:paraId="7CB3F9C2" w14:textId="4BD6A0BD" w:rsidR="006747EF"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6747EF" w:rsidRPr="005B5922">
              <w:rPr>
                <w:rFonts w:cstheme="minorHAnsi"/>
                <w:color w:val="002060"/>
                <w:sz w:val="24"/>
                <w:szCs w:val="24"/>
              </w:rPr>
              <w:t xml:space="preserve"> FSE+</w:t>
            </w:r>
          </w:p>
          <w:p w14:paraId="04E62E44" w14:textId="41A45AA1" w:rsidR="00961113" w:rsidRPr="005B5922" w:rsidRDefault="00961113"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2</w:t>
            </w:r>
            <w:r w:rsidR="006747EF" w:rsidRPr="005B5922">
              <w:rPr>
                <w:rFonts w:asciiTheme="minorHAnsi" w:hAnsiTheme="minorHAnsi" w:cstheme="minorHAnsi"/>
                <w:color w:val="002060"/>
                <w:sz w:val="24"/>
                <w:szCs w:val="24"/>
                <w:lang w:val="ro-RO"/>
              </w:rPr>
              <w:t>:</w:t>
            </w:r>
            <w:r w:rsidRPr="005B5922">
              <w:rPr>
                <w:rFonts w:asciiTheme="minorHAnsi" w:hAnsiTheme="minorHAnsi" w:cstheme="minorHAnsi"/>
                <w:color w:val="002060"/>
                <w:sz w:val="24"/>
                <w:szCs w:val="24"/>
                <w:lang w:val="ro-RO"/>
              </w:rPr>
              <w:t xml:space="preserve"> FEDR</w:t>
            </w:r>
          </w:p>
          <w:p w14:paraId="3ED9AF99" w14:textId="5935B5C4" w:rsidR="00483D00" w:rsidRPr="005B5922" w:rsidRDefault="00483D00"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3</w:t>
            </w:r>
            <w:r w:rsidR="006747EF" w:rsidRPr="005B5922">
              <w:rPr>
                <w:rFonts w:asciiTheme="minorHAnsi" w:hAnsiTheme="minorHAnsi" w:cstheme="minorHAnsi"/>
                <w:color w:val="002060"/>
                <w:sz w:val="24"/>
                <w:szCs w:val="24"/>
                <w:lang w:val="ro-RO"/>
              </w:rPr>
              <w:t>:</w:t>
            </w:r>
            <w:r w:rsidRPr="005B5922">
              <w:rPr>
                <w:rFonts w:asciiTheme="minorHAnsi" w:hAnsiTheme="minorHAnsi" w:cstheme="minorHAnsi"/>
                <w:color w:val="002060"/>
                <w:sz w:val="24"/>
                <w:szCs w:val="24"/>
                <w:lang w:val="ro-RO"/>
              </w:rPr>
              <w:t xml:space="preserve"> FEDR</w:t>
            </w:r>
          </w:p>
          <w:p w14:paraId="7F48A321" w14:textId="7E591AE9" w:rsidR="00483D00" w:rsidRPr="005B5922" w:rsidRDefault="00483D00"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7 FEDR</w:t>
            </w:r>
          </w:p>
          <w:p w14:paraId="5B8AAC36" w14:textId="53DC5C94" w:rsidR="00961113" w:rsidRPr="005B5922" w:rsidRDefault="00961113"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reabilitare/ modernizare unități medicale publice</w:t>
            </w:r>
          </w:p>
        </w:tc>
        <w:tc>
          <w:tcPr>
            <w:tcW w:w="574" w:type="pct"/>
          </w:tcPr>
          <w:p w14:paraId="4D1F7CC3" w14:textId="06F881BC" w:rsidR="00961113" w:rsidRPr="005B5922" w:rsidRDefault="00961113" w:rsidP="00B172DA">
            <w:pPr>
              <w:spacing w:before="60"/>
              <w:jc w:val="both"/>
              <w:rPr>
                <w:rFonts w:cstheme="minorHAnsi"/>
                <w:color w:val="002060"/>
                <w:sz w:val="24"/>
                <w:szCs w:val="24"/>
              </w:rPr>
            </w:pPr>
            <w:r w:rsidRPr="005B5922">
              <w:rPr>
                <w:rFonts w:cstheme="minorHAnsi"/>
                <w:color w:val="002060"/>
                <w:sz w:val="24"/>
                <w:szCs w:val="24"/>
              </w:rPr>
              <w:t>C</w:t>
            </w:r>
            <w:r w:rsidR="00BD0BC2" w:rsidRPr="005B5922">
              <w:rPr>
                <w:rFonts w:cstheme="minorHAnsi"/>
                <w:color w:val="002060"/>
                <w:sz w:val="24"/>
                <w:szCs w:val="24"/>
              </w:rPr>
              <w:t>omponenta</w:t>
            </w:r>
            <w:r w:rsidRPr="005B5922">
              <w:rPr>
                <w:rFonts w:cstheme="minorHAnsi"/>
                <w:color w:val="002060"/>
                <w:sz w:val="24"/>
                <w:szCs w:val="24"/>
              </w:rPr>
              <w:t xml:space="preserve"> 5: V</w:t>
            </w:r>
            <w:r w:rsidR="00BD0BC2" w:rsidRPr="005B5922">
              <w:rPr>
                <w:rFonts w:cstheme="minorHAnsi"/>
                <w:color w:val="002060"/>
                <w:sz w:val="24"/>
                <w:szCs w:val="24"/>
              </w:rPr>
              <w:t>alul</w:t>
            </w:r>
            <w:r w:rsidRPr="005B5922">
              <w:rPr>
                <w:rFonts w:cstheme="minorHAnsi"/>
                <w:color w:val="002060"/>
                <w:sz w:val="24"/>
                <w:szCs w:val="24"/>
              </w:rPr>
              <w:t xml:space="preserve"> R</w:t>
            </w:r>
            <w:r w:rsidR="00BD0BC2" w:rsidRPr="005B5922">
              <w:rPr>
                <w:rFonts w:cstheme="minorHAnsi"/>
                <w:color w:val="002060"/>
                <w:sz w:val="24"/>
                <w:szCs w:val="24"/>
              </w:rPr>
              <w:t>enovării</w:t>
            </w:r>
          </w:p>
          <w:p w14:paraId="1463E42A" w14:textId="48B6574B" w:rsidR="00961113" w:rsidRPr="005B5922" w:rsidRDefault="00961113" w:rsidP="00B172DA">
            <w:pPr>
              <w:spacing w:before="60"/>
              <w:jc w:val="both"/>
              <w:rPr>
                <w:rFonts w:cstheme="minorHAnsi"/>
                <w:color w:val="002060"/>
                <w:sz w:val="24"/>
                <w:szCs w:val="24"/>
              </w:rPr>
            </w:pPr>
            <w:r w:rsidRPr="005B5922">
              <w:rPr>
                <w:rFonts w:cstheme="minorHAnsi"/>
                <w:color w:val="002060"/>
                <w:sz w:val="24"/>
                <w:szCs w:val="24"/>
              </w:rPr>
              <w:t>Axa 2 – Investiții în clădiri publice pentru o tranziție reziliență și verde</w:t>
            </w:r>
          </w:p>
        </w:tc>
        <w:tc>
          <w:tcPr>
            <w:tcW w:w="2749" w:type="pct"/>
          </w:tcPr>
          <w:p w14:paraId="2DD8D745" w14:textId="00130961" w:rsidR="00961113" w:rsidRPr="005B5922" w:rsidRDefault="00961113" w:rsidP="00B172DA">
            <w:pPr>
              <w:spacing w:before="60"/>
              <w:jc w:val="both"/>
              <w:rPr>
                <w:rFonts w:cstheme="minorHAnsi"/>
                <w:color w:val="002060"/>
                <w:sz w:val="24"/>
                <w:szCs w:val="24"/>
              </w:rPr>
            </w:pPr>
            <w:r w:rsidRPr="005B5922">
              <w:rPr>
                <w:rFonts w:cstheme="minorHAnsi"/>
                <w:color w:val="002060"/>
                <w:sz w:val="24"/>
                <w:szCs w:val="24"/>
              </w:rPr>
              <w:t xml:space="preserve">Prin PNRR, se finanțează lucrări de îmbunătățire a fondului construit existent: clădiri rezidențiale multifamiliale - renovarea energetică moderată sau aprofundată și /sau consolidarea seismică a clădirilor multifamiliale și a </w:t>
            </w:r>
            <w:r w:rsidRPr="005B5922">
              <w:rPr>
                <w:rFonts w:cstheme="minorHAnsi"/>
                <w:color w:val="002060"/>
                <w:sz w:val="24"/>
                <w:szCs w:val="24"/>
                <w:u w:val="single"/>
              </w:rPr>
              <w:t>clădirilor publice</w:t>
            </w:r>
            <w:r w:rsidRPr="005B5922">
              <w:rPr>
                <w:rFonts w:cstheme="minorHAnsi"/>
                <w:color w:val="002060"/>
                <w:sz w:val="24"/>
                <w:szCs w:val="24"/>
              </w:rPr>
              <w:t xml:space="preserve"> din municipii și municipii reședință de județ </w:t>
            </w:r>
            <w:r w:rsidRPr="005B5922">
              <w:rPr>
                <w:rFonts w:cstheme="minorHAnsi"/>
                <w:i/>
                <w:iCs/>
                <w:color w:val="002060"/>
                <w:sz w:val="24"/>
                <w:szCs w:val="24"/>
              </w:rPr>
              <w:t xml:space="preserve">(componenta C5. Valul Renovării) </w:t>
            </w:r>
            <w:r w:rsidRPr="005B5922">
              <w:rPr>
                <w:rFonts w:cstheme="minorHAnsi"/>
                <w:color w:val="002060"/>
                <w:sz w:val="24"/>
                <w:szCs w:val="24"/>
              </w:rPr>
              <w:t>și respectiv din orașe și comune (</w:t>
            </w:r>
            <w:r w:rsidRPr="005B5922">
              <w:rPr>
                <w:rFonts w:cstheme="minorHAnsi"/>
                <w:i/>
                <w:iCs/>
                <w:color w:val="002060"/>
                <w:sz w:val="24"/>
                <w:szCs w:val="24"/>
              </w:rPr>
              <w:t>componenta C10. Fondul Local</w:t>
            </w:r>
            <w:r w:rsidRPr="005B5922">
              <w:rPr>
                <w:rFonts w:cstheme="minorHAnsi"/>
                <w:color w:val="002060"/>
                <w:sz w:val="24"/>
                <w:szCs w:val="24"/>
              </w:rPr>
              <w:t xml:space="preserve">). De asemenea, prin intermediul platformei digitale Observatorul Teritorial vor fi localizate și spațializate în coordonate GIS investițiile finanțate din Componentă, respectiv din toate programele operaționale, fiind astfel asigurat accesul în timp real la informație și fiind permisă astfel o evaluare anterioară stabilirii contractului de finanțare. În Observatorul Teritorial va fi dezvoltată o secțiune care va permite vizualizarea investițiilor imediat după semnarea contractului de finanțare pentru proiectele de investiții. Fiecare </w:t>
            </w:r>
            <w:r w:rsidR="006747EF" w:rsidRPr="005B5922">
              <w:rPr>
                <w:rFonts w:cstheme="minorHAnsi"/>
                <w:color w:val="002060"/>
                <w:sz w:val="24"/>
                <w:szCs w:val="24"/>
              </w:rPr>
              <w:t>A</w:t>
            </w:r>
            <w:r w:rsidRPr="005B5922">
              <w:rPr>
                <w:rFonts w:cstheme="minorHAnsi"/>
                <w:color w:val="002060"/>
                <w:sz w:val="24"/>
                <w:szCs w:val="24"/>
              </w:rPr>
              <w:t xml:space="preserve">utoritate de </w:t>
            </w:r>
            <w:r w:rsidR="006747EF" w:rsidRPr="005B5922">
              <w:rPr>
                <w:rFonts w:cstheme="minorHAnsi"/>
                <w:color w:val="002060"/>
                <w:sz w:val="24"/>
                <w:szCs w:val="24"/>
              </w:rPr>
              <w:t>M</w:t>
            </w:r>
            <w:r w:rsidRPr="005B5922">
              <w:rPr>
                <w:rFonts w:cstheme="minorHAnsi"/>
                <w:color w:val="002060"/>
                <w:sz w:val="24"/>
                <w:szCs w:val="24"/>
              </w:rPr>
              <w:t xml:space="preserve">anagement va transmite către MDLPA aceste informații. MDLPA va asigura încărcarea în secțiunea dedicată din OT și va efectua verificările necesare în vederea evitării dublei finanțări a proiectelor (ex: prin atribuirea unui cod unic asociat fiecărui domeniu de finanțare în parte, se poate determina mai ușor existența proiectelor multiple pe același domeniu de finanțare, la nivel de unitate administrativ-teritorială).  Complementar prin PO Sănătate vor fi realizate lucrări </w:t>
            </w:r>
            <w:r w:rsidR="006C3313" w:rsidRPr="005B5922">
              <w:rPr>
                <w:rFonts w:cstheme="minorHAnsi"/>
                <w:color w:val="002060"/>
                <w:sz w:val="24"/>
                <w:szCs w:val="24"/>
              </w:rPr>
              <w:t xml:space="preserve"> de reabilitare/modernizare </w:t>
            </w:r>
            <w:r w:rsidRPr="005B5922">
              <w:rPr>
                <w:rFonts w:cstheme="minorHAnsi"/>
                <w:color w:val="002060"/>
                <w:sz w:val="24"/>
                <w:szCs w:val="24"/>
              </w:rPr>
              <w:t xml:space="preserve">la clădirile </w:t>
            </w:r>
            <w:r w:rsidR="006747EF" w:rsidRPr="005B5922">
              <w:rPr>
                <w:rFonts w:cstheme="minorHAnsi"/>
                <w:color w:val="002060"/>
                <w:sz w:val="24"/>
                <w:szCs w:val="24"/>
              </w:rPr>
              <w:t>unităților sanitare publice</w:t>
            </w:r>
          </w:p>
        </w:tc>
      </w:tr>
      <w:tr w:rsidR="005B5922" w:rsidRPr="005B5922" w14:paraId="2626DB2F" w14:textId="77777777" w:rsidTr="00327292">
        <w:tc>
          <w:tcPr>
            <w:tcW w:w="501" w:type="pct"/>
            <w:gridSpan w:val="2"/>
          </w:tcPr>
          <w:p w14:paraId="2233FC1E" w14:textId="20C35E3A" w:rsidR="0010629E" w:rsidRPr="005B5922" w:rsidRDefault="0010629E" w:rsidP="00B172DA">
            <w:pPr>
              <w:spacing w:before="60"/>
              <w:jc w:val="both"/>
              <w:rPr>
                <w:rFonts w:cstheme="minorHAnsi"/>
                <w:color w:val="002060"/>
                <w:sz w:val="24"/>
                <w:szCs w:val="24"/>
              </w:rPr>
            </w:pPr>
            <w:r w:rsidRPr="005B5922">
              <w:rPr>
                <w:rFonts w:cstheme="minorHAnsi"/>
                <w:color w:val="002060"/>
                <w:sz w:val="24"/>
                <w:szCs w:val="24"/>
              </w:rPr>
              <w:t>Cercetarea în sectorul medical</w:t>
            </w:r>
          </w:p>
        </w:tc>
        <w:tc>
          <w:tcPr>
            <w:tcW w:w="1176" w:type="pct"/>
          </w:tcPr>
          <w:p w14:paraId="0964BEDA" w14:textId="73FEAAA7" w:rsidR="009A155E"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9A155E" w:rsidRPr="005B5922">
              <w:rPr>
                <w:rFonts w:cstheme="minorHAnsi"/>
                <w:color w:val="002060"/>
                <w:sz w:val="24"/>
                <w:szCs w:val="24"/>
              </w:rPr>
              <w:t xml:space="preserve"> FEDR</w:t>
            </w:r>
          </w:p>
          <w:p w14:paraId="3F5BC139" w14:textId="1324E4A8" w:rsidR="0010629E" w:rsidRPr="005B5922" w:rsidRDefault="0010629E"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5</w:t>
            </w:r>
          </w:p>
        </w:tc>
        <w:tc>
          <w:tcPr>
            <w:tcW w:w="574" w:type="pct"/>
          </w:tcPr>
          <w:p w14:paraId="3E1075A2" w14:textId="68E9C888" w:rsidR="0010629E" w:rsidRPr="005B5922" w:rsidRDefault="009B4F2A" w:rsidP="00B172DA">
            <w:pPr>
              <w:spacing w:before="60"/>
              <w:jc w:val="both"/>
              <w:rPr>
                <w:rFonts w:cstheme="minorHAnsi"/>
                <w:color w:val="002060"/>
                <w:sz w:val="24"/>
                <w:szCs w:val="24"/>
              </w:rPr>
            </w:pPr>
            <w:r w:rsidRPr="005B5922">
              <w:rPr>
                <w:rFonts w:cstheme="minorHAnsi"/>
                <w:color w:val="002060"/>
                <w:sz w:val="24"/>
                <w:szCs w:val="24"/>
              </w:rPr>
              <w:t>Componenta 9 – Suport pentru sectorul privat, cercetare, dezvoltare și inovare</w:t>
            </w:r>
          </w:p>
        </w:tc>
        <w:tc>
          <w:tcPr>
            <w:tcW w:w="2749" w:type="pct"/>
          </w:tcPr>
          <w:p w14:paraId="6EFC1B48" w14:textId="0A5952C9" w:rsidR="00EE70E6" w:rsidRPr="005B5922" w:rsidRDefault="0010629E" w:rsidP="00B172DA">
            <w:pPr>
              <w:widowControl w:val="0"/>
              <w:numPr>
                <w:ilvl w:val="0"/>
                <w:numId w:val="17"/>
              </w:numPr>
              <w:autoSpaceDE w:val="0"/>
              <w:autoSpaceDN w:val="0"/>
              <w:spacing w:before="60"/>
              <w:jc w:val="both"/>
              <w:rPr>
                <w:rFonts w:cstheme="minorHAnsi"/>
                <w:color w:val="002060"/>
                <w:sz w:val="24"/>
                <w:szCs w:val="24"/>
              </w:rPr>
            </w:pPr>
            <w:r w:rsidRPr="005B5922">
              <w:rPr>
                <w:rFonts w:cstheme="minorHAnsi"/>
                <w:color w:val="002060"/>
                <w:sz w:val="24"/>
                <w:szCs w:val="24"/>
              </w:rPr>
              <w:t>PNRR –</w:t>
            </w:r>
            <w:r w:rsidR="004D0C25" w:rsidRPr="005B5922">
              <w:rPr>
                <w:rFonts w:cstheme="minorHAnsi"/>
                <w:color w:val="002060"/>
                <w:sz w:val="24"/>
                <w:szCs w:val="24"/>
              </w:rPr>
              <w:t xml:space="preserve"> </w:t>
            </w:r>
            <w:r w:rsidRPr="005B5922">
              <w:rPr>
                <w:rFonts w:cstheme="minorHAnsi"/>
                <w:color w:val="002060"/>
                <w:sz w:val="24"/>
                <w:szCs w:val="24"/>
              </w:rPr>
              <w:t xml:space="preserve">reforma politicilor investiționale CDI; sprijin pentru participarea la </w:t>
            </w:r>
            <w:proofErr w:type="spellStart"/>
            <w:r w:rsidRPr="005B5922">
              <w:rPr>
                <w:rFonts w:cstheme="minorHAnsi"/>
                <w:color w:val="002060"/>
                <w:sz w:val="24"/>
                <w:szCs w:val="24"/>
              </w:rPr>
              <w:t>H</w:t>
            </w:r>
            <w:r w:rsidR="00090619" w:rsidRPr="005B5922">
              <w:rPr>
                <w:rFonts w:cstheme="minorHAnsi"/>
                <w:color w:val="002060"/>
                <w:sz w:val="24"/>
                <w:szCs w:val="24"/>
              </w:rPr>
              <w:t>orizon</w:t>
            </w:r>
            <w:proofErr w:type="spellEnd"/>
            <w:r w:rsidR="00090619" w:rsidRPr="005B5922">
              <w:rPr>
                <w:rFonts w:cstheme="minorHAnsi"/>
                <w:color w:val="002060"/>
                <w:sz w:val="24"/>
                <w:szCs w:val="24"/>
              </w:rPr>
              <w:t xml:space="preserve"> </w:t>
            </w:r>
            <w:r w:rsidRPr="005B5922">
              <w:rPr>
                <w:rFonts w:cstheme="minorHAnsi"/>
                <w:color w:val="002060"/>
                <w:sz w:val="24"/>
                <w:szCs w:val="24"/>
              </w:rPr>
              <w:t>E</w:t>
            </w:r>
            <w:r w:rsidR="00090619" w:rsidRPr="005B5922">
              <w:rPr>
                <w:rFonts w:cstheme="minorHAnsi"/>
                <w:color w:val="002060"/>
                <w:sz w:val="24"/>
                <w:szCs w:val="24"/>
              </w:rPr>
              <w:t xml:space="preserve">urope </w:t>
            </w:r>
            <w:r w:rsidRPr="005B5922">
              <w:rPr>
                <w:rFonts w:cstheme="minorHAnsi"/>
                <w:color w:val="002060"/>
                <w:sz w:val="24"/>
                <w:szCs w:val="24"/>
              </w:rPr>
              <w:t xml:space="preserve"> prin mentorat pentru participarea HE, 5 centre de competente pentru misiunile HE, atragerea de RU înalt specializate, sprijin pentru câștigătorii Seat of excellence pentru MSCA câștigate pana in 2023; sprijin pentru dezvoltarea microelectronicii în RO.</w:t>
            </w:r>
          </w:p>
          <w:p w14:paraId="187D9E19" w14:textId="77777777" w:rsidR="0010629E" w:rsidRPr="005B5922" w:rsidRDefault="0010629E" w:rsidP="00B172DA">
            <w:pPr>
              <w:widowControl w:val="0"/>
              <w:autoSpaceDE w:val="0"/>
              <w:autoSpaceDN w:val="0"/>
              <w:spacing w:before="60"/>
              <w:jc w:val="both"/>
              <w:rPr>
                <w:rFonts w:cstheme="minorHAnsi"/>
                <w:color w:val="002060"/>
                <w:sz w:val="24"/>
                <w:szCs w:val="24"/>
              </w:rPr>
            </w:pPr>
          </w:p>
        </w:tc>
      </w:tr>
      <w:tr w:rsidR="005B5922" w:rsidRPr="005B5922" w14:paraId="612DD441" w14:textId="77777777" w:rsidTr="00327292">
        <w:tc>
          <w:tcPr>
            <w:tcW w:w="501" w:type="pct"/>
            <w:gridSpan w:val="2"/>
          </w:tcPr>
          <w:p w14:paraId="3BCB112C" w14:textId="7A7A38C6" w:rsidR="001D57B5" w:rsidRPr="005B5922" w:rsidRDefault="0010629E" w:rsidP="00B172DA">
            <w:pPr>
              <w:spacing w:before="60"/>
              <w:jc w:val="both"/>
              <w:rPr>
                <w:rFonts w:cstheme="minorHAnsi"/>
                <w:color w:val="002060"/>
                <w:sz w:val="24"/>
                <w:szCs w:val="24"/>
              </w:rPr>
            </w:pPr>
            <w:r w:rsidRPr="005B5922">
              <w:rPr>
                <w:rFonts w:cstheme="minorHAnsi"/>
                <w:color w:val="002060"/>
                <w:sz w:val="24"/>
                <w:szCs w:val="24"/>
              </w:rPr>
              <w:t>Digitalizarea în sectorul medical</w:t>
            </w:r>
          </w:p>
        </w:tc>
        <w:tc>
          <w:tcPr>
            <w:tcW w:w="1176" w:type="pct"/>
          </w:tcPr>
          <w:p w14:paraId="4D88A5F3" w14:textId="0974A378" w:rsidR="009A155E"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9A155E" w:rsidRPr="005B5922">
              <w:rPr>
                <w:rFonts w:cstheme="minorHAnsi"/>
                <w:color w:val="002060"/>
                <w:sz w:val="24"/>
                <w:szCs w:val="24"/>
              </w:rPr>
              <w:t xml:space="preserve"> FEDR</w:t>
            </w:r>
          </w:p>
          <w:p w14:paraId="313B3B56" w14:textId="77777777" w:rsidR="001D57B5" w:rsidRPr="005B5922" w:rsidRDefault="0010629E"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6</w:t>
            </w:r>
          </w:p>
          <w:p w14:paraId="620DF04F" w14:textId="29A6EBE0" w:rsidR="009A155E" w:rsidRPr="005B5922" w:rsidRDefault="005B5922" w:rsidP="00B172DA">
            <w:pPr>
              <w:spacing w:before="60"/>
              <w:jc w:val="both"/>
              <w:rPr>
                <w:rFonts w:cstheme="minorHAnsi"/>
                <w:color w:val="002060"/>
                <w:sz w:val="24"/>
                <w:szCs w:val="24"/>
              </w:rPr>
            </w:pPr>
            <w:r w:rsidRPr="005B5922">
              <w:rPr>
                <w:rFonts w:cstheme="minorHAnsi"/>
                <w:color w:val="002060"/>
                <w:sz w:val="24"/>
                <w:szCs w:val="24"/>
              </w:rPr>
              <w:t>PS</w:t>
            </w:r>
            <w:r w:rsidR="009A155E" w:rsidRPr="005B5922">
              <w:rPr>
                <w:rFonts w:cstheme="minorHAnsi"/>
                <w:color w:val="002060"/>
                <w:sz w:val="24"/>
                <w:szCs w:val="24"/>
              </w:rPr>
              <w:t xml:space="preserve"> FSE+</w:t>
            </w:r>
          </w:p>
          <w:p w14:paraId="4BC8EBDA" w14:textId="31D30D67" w:rsidR="009A155E" w:rsidRPr="005B5922" w:rsidRDefault="009A155E" w:rsidP="00B172DA">
            <w:pPr>
              <w:pStyle w:val="ListParagraph"/>
              <w:numPr>
                <w:ilvl w:val="0"/>
                <w:numId w:val="30"/>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Prioritatea 3, OS</w:t>
            </w:r>
            <w:r w:rsidR="00B172DA" w:rsidRPr="005B5922">
              <w:rPr>
                <w:rFonts w:asciiTheme="minorHAnsi" w:hAnsiTheme="minorHAnsi" w:cstheme="minorHAnsi"/>
                <w:color w:val="002060"/>
                <w:sz w:val="24"/>
                <w:szCs w:val="24"/>
                <w:lang w:val="ro-RO"/>
              </w:rPr>
              <w:t xml:space="preserve"> </w:t>
            </w:r>
            <w:r w:rsidRPr="005B5922">
              <w:rPr>
                <w:rFonts w:asciiTheme="minorHAnsi" w:hAnsiTheme="minorHAnsi" w:cstheme="minorHAnsi"/>
                <w:color w:val="002060"/>
                <w:sz w:val="24"/>
                <w:szCs w:val="24"/>
                <w:lang w:val="ro-RO"/>
              </w:rPr>
              <w:t>k</w:t>
            </w:r>
          </w:p>
          <w:p w14:paraId="1C1C67F8" w14:textId="4280CB8E" w:rsidR="009A155E" w:rsidRPr="005B5922" w:rsidRDefault="009A155E" w:rsidP="00B172DA">
            <w:pPr>
              <w:spacing w:before="60"/>
              <w:jc w:val="both"/>
              <w:rPr>
                <w:rFonts w:cstheme="minorHAnsi"/>
                <w:color w:val="002060"/>
                <w:sz w:val="24"/>
                <w:szCs w:val="24"/>
              </w:rPr>
            </w:pPr>
          </w:p>
        </w:tc>
        <w:tc>
          <w:tcPr>
            <w:tcW w:w="574" w:type="pct"/>
          </w:tcPr>
          <w:p w14:paraId="6F6DC8D2" w14:textId="76A1BDC5" w:rsidR="001D57B5" w:rsidRPr="005B5922" w:rsidRDefault="003C2320" w:rsidP="00B172DA">
            <w:pPr>
              <w:spacing w:before="60"/>
              <w:jc w:val="both"/>
              <w:rPr>
                <w:rFonts w:cstheme="minorHAnsi"/>
                <w:color w:val="002060"/>
                <w:sz w:val="24"/>
                <w:szCs w:val="24"/>
              </w:rPr>
            </w:pPr>
            <w:r w:rsidRPr="005B5922">
              <w:rPr>
                <w:rFonts w:cstheme="minorHAnsi"/>
                <w:color w:val="002060"/>
                <w:sz w:val="24"/>
                <w:szCs w:val="24"/>
              </w:rPr>
              <w:t>Componenta 7</w:t>
            </w:r>
            <w:r w:rsidR="00BD0BC2" w:rsidRPr="005B5922">
              <w:rPr>
                <w:rFonts w:cstheme="minorHAnsi"/>
                <w:color w:val="002060"/>
                <w:sz w:val="24"/>
                <w:szCs w:val="24"/>
              </w:rPr>
              <w:t xml:space="preserve"> – Transformare digitală</w:t>
            </w:r>
          </w:p>
        </w:tc>
        <w:tc>
          <w:tcPr>
            <w:tcW w:w="2749" w:type="pct"/>
          </w:tcPr>
          <w:p w14:paraId="361DA16A" w14:textId="21CC23E4" w:rsidR="0010629E" w:rsidRPr="005B5922" w:rsidRDefault="0010629E" w:rsidP="00B172DA">
            <w:pPr>
              <w:spacing w:before="60"/>
              <w:jc w:val="both"/>
              <w:rPr>
                <w:rFonts w:cstheme="minorHAnsi"/>
                <w:color w:val="002060"/>
                <w:sz w:val="24"/>
                <w:szCs w:val="24"/>
              </w:rPr>
            </w:pPr>
            <w:r w:rsidRPr="005B5922">
              <w:rPr>
                <w:rFonts w:cstheme="minorHAnsi"/>
                <w:color w:val="002060"/>
                <w:sz w:val="24"/>
                <w:szCs w:val="24"/>
              </w:rPr>
              <w:t xml:space="preserve">Complementaritatea cu </w:t>
            </w:r>
            <w:r w:rsidR="005B5922" w:rsidRPr="005B5922">
              <w:rPr>
                <w:rFonts w:cstheme="minorHAnsi"/>
                <w:color w:val="002060"/>
                <w:sz w:val="24"/>
                <w:szCs w:val="24"/>
              </w:rPr>
              <w:t>PS</w:t>
            </w:r>
            <w:r w:rsidRPr="005B5922">
              <w:rPr>
                <w:rFonts w:cstheme="minorHAnsi"/>
                <w:color w:val="002060"/>
                <w:sz w:val="24"/>
                <w:szCs w:val="24"/>
              </w:rPr>
              <w:t xml:space="preserve"> – PNRR. Intervențiile din PNRR (Componenta 7 Investiția 3: Realizarea sistemului de </w:t>
            </w:r>
            <w:proofErr w:type="spellStart"/>
            <w:r w:rsidRPr="005B5922">
              <w:rPr>
                <w:rFonts w:cstheme="minorHAnsi"/>
                <w:color w:val="002060"/>
                <w:sz w:val="24"/>
                <w:szCs w:val="24"/>
              </w:rPr>
              <w:t>eHealth</w:t>
            </w:r>
            <w:proofErr w:type="spellEnd"/>
            <w:r w:rsidRPr="005B5922">
              <w:rPr>
                <w:rFonts w:cstheme="minorHAnsi"/>
                <w:color w:val="002060"/>
                <w:sz w:val="24"/>
                <w:szCs w:val="24"/>
              </w:rPr>
              <w:t xml:space="preserve"> și telemedicină) ar putea avea suprapuneri potențiale cu anumite intervenții aferente Politicii de Coeziune ex.</w:t>
            </w:r>
          </w:p>
          <w:p w14:paraId="3298F3C4" w14:textId="0C632CFF" w:rsidR="0010629E" w:rsidRPr="005B5922" w:rsidRDefault="00961113" w:rsidP="005B5922">
            <w:pPr>
              <w:pStyle w:val="ListParagraph"/>
              <w:numPr>
                <w:ilvl w:val="0"/>
                <w:numId w:val="18"/>
              </w:numPr>
              <w:spacing w:before="60"/>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Intervențiile</w:t>
            </w:r>
            <w:r w:rsidR="0010629E" w:rsidRPr="005B5922">
              <w:rPr>
                <w:rFonts w:asciiTheme="minorHAnsi" w:hAnsiTheme="minorHAnsi" w:cstheme="minorHAnsi"/>
                <w:color w:val="002060"/>
                <w:sz w:val="24"/>
                <w:szCs w:val="24"/>
                <w:lang w:val="ro-RO"/>
              </w:rPr>
              <w:t xml:space="preserve"> din </w:t>
            </w:r>
            <w:r w:rsidR="005B5922" w:rsidRPr="005B5922">
              <w:rPr>
                <w:rFonts w:asciiTheme="minorHAnsi" w:hAnsiTheme="minorHAnsi" w:cstheme="minorHAnsi"/>
                <w:color w:val="002060"/>
                <w:sz w:val="24"/>
                <w:szCs w:val="24"/>
                <w:lang w:val="ro-RO"/>
              </w:rPr>
              <w:t>PS</w:t>
            </w:r>
            <w:r w:rsidR="0010629E" w:rsidRPr="005B5922">
              <w:rPr>
                <w:rFonts w:asciiTheme="minorHAnsi" w:hAnsiTheme="minorHAnsi" w:cstheme="minorHAnsi"/>
                <w:color w:val="002060"/>
                <w:sz w:val="24"/>
                <w:szCs w:val="24"/>
                <w:lang w:val="ro-RO"/>
              </w:rPr>
              <w:t xml:space="preserve"> P6 - b. Dezvoltarea integrată a unor soluții de e-sănătate, cu anvergură națională și cele din PNRR Digitalizarea instituțiilor cu atribuții în domeniul sanitar aflate în subordinea MS.</w:t>
            </w:r>
            <w:r w:rsidR="0010629E" w:rsidRPr="005B5922">
              <w:rPr>
                <w:rFonts w:asciiTheme="minorHAnsi" w:hAnsiTheme="minorHAnsi" w:cstheme="minorHAnsi"/>
                <w:color w:val="002060"/>
                <w:sz w:val="24"/>
                <w:szCs w:val="24"/>
                <w:lang w:val="ro-RO"/>
              </w:rPr>
              <w:tab/>
            </w:r>
            <w:r w:rsidR="0010629E" w:rsidRPr="003B5C91">
              <w:rPr>
                <w:rFonts w:asciiTheme="minorHAnsi" w:hAnsiTheme="minorHAnsi" w:cstheme="minorHAnsi"/>
                <w:color w:val="002060"/>
                <w:sz w:val="24"/>
                <w:szCs w:val="24"/>
                <w:lang w:val="ro-RO"/>
              </w:rPr>
              <w:tab/>
            </w:r>
          </w:p>
          <w:p w14:paraId="478A6648" w14:textId="77777777" w:rsidR="00B172DA" w:rsidRPr="005B5922" w:rsidRDefault="0010629E" w:rsidP="00B172DA">
            <w:pPr>
              <w:spacing w:before="60"/>
              <w:jc w:val="both"/>
              <w:rPr>
                <w:rFonts w:cstheme="minorHAnsi"/>
                <w:color w:val="002060"/>
                <w:sz w:val="24"/>
                <w:szCs w:val="24"/>
              </w:rPr>
            </w:pPr>
            <w:r w:rsidRPr="005B5922">
              <w:rPr>
                <w:rFonts w:cstheme="minorHAnsi"/>
                <w:color w:val="002060"/>
                <w:sz w:val="24"/>
                <w:szCs w:val="24"/>
              </w:rPr>
              <w:t xml:space="preserve">Evitarea riscului de dublă finanțare se va realiza prin criterii și proceduri stabilite la nivelul ghidurilor, asigurându-se astfel și riscul de dublă finanțare. Totodată, în vederea evitării dublei finanțări, beneficiarii vor avea obligația depunerii unei declarații pe proprie răspundere privind nefinanțarea proiectului și în cadrul altor programe/ surse de finanțare. </w:t>
            </w:r>
          </w:p>
          <w:p w14:paraId="785EA005" w14:textId="15861A80" w:rsidR="001D57B5" w:rsidRPr="005B5922" w:rsidRDefault="00B172DA" w:rsidP="00B172DA">
            <w:pPr>
              <w:spacing w:before="60"/>
              <w:jc w:val="both"/>
              <w:rPr>
                <w:rFonts w:cstheme="minorHAnsi"/>
                <w:color w:val="002060"/>
                <w:sz w:val="24"/>
                <w:szCs w:val="24"/>
              </w:rPr>
            </w:pPr>
            <w:r w:rsidRPr="005B5922">
              <w:rPr>
                <w:rFonts w:cstheme="minorHAnsi"/>
                <w:color w:val="002060"/>
                <w:sz w:val="24"/>
                <w:szCs w:val="24"/>
              </w:rPr>
              <w:t xml:space="preserve">Măsurile avute în vedere pentru evitarea dublei finanțări sunt prezentate în documentul </w:t>
            </w:r>
            <w:r w:rsidRPr="005B5922">
              <w:rPr>
                <w:rFonts w:cstheme="minorHAnsi"/>
                <w:i/>
                <w:iCs/>
                <w:color w:val="002060"/>
                <w:sz w:val="24"/>
                <w:szCs w:val="24"/>
              </w:rPr>
              <w:t xml:space="preserve">Mecanism de evitare dubla finanțare </w:t>
            </w:r>
            <w:r w:rsidR="005B5922" w:rsidRPr="005B5922">
              <w:rPr>
                <w:rFonts w:cstheme="minorHAnsi"/>
                <w:i/>
                <w:iCs/>
                <w:color w:val="002060"/>
                <w:sz w:val="24"/>
                <w:szCs w:val="24"/>
              </w:rPr>
              <w:t>PS</w:t>
            </w:r>
            <w:r w:rsidRPr="005B5922">
              <w:rPr>
                <w:rFonts w:cstheme="minorHAnsi"/>
                <w:i/>
                <w:iCs/>
                <w:color w:val="002060"/>
                <w:sz w:val="24"/>
                <w:szCs w:val="24"/>
              </w:rPr>
              <w:t xml:space="preserve"> PNRR atașat </w:t>
            </w:r>
            <w:r w:rsidR="005B5922" w:rsidRPr="005B5922">
              <w:rPr>
                <w:rFonts w:cstheme="minorHAnsi"/>
                <w:i/>
                <w:iCs/>
                <w:color w:val="002060"/>
                <w:sz w:val="24"/>
                <w:szCs w:val="24"/>
              </w:rPr>
              <w:t>PS</w:t>
            </w:r>
          </w:p>
        </w:tc>
      </w:tr>
      <w:tr w:rsidR="00B172DA" w:rsidRPr="005B5922" w14:paraId="11029516" w14:textId="77777777" w:rsidTr="00327292">
        <w:tc>
          <w:tcPr>
            <w:tcW w:w="501" w:type="pct"/>
            <w:gridSpan w:val="2"/>
          </w:tcPr>
          <w:p w14:paraId="7918AFD7" w14:textId="02B4DC4C" w:rsidR="001D57B5" w:rsidRPr="005B5922" w:rsidRDefault="00433289" w:rsidP="00B172DA">
            <w:pPr>
              <w:spacing w:before="60"/>
              <w:jc w:val="both"/>
              <w:rPr>
                <w:rFonts w:cstheme="minorHAnsi"/>
                <w:color w:val="002060"/>
                <w:sz w:val="24"/>
                <w:szCs w:val="24"/>
              </w:rPr>
            </w:pPr>
            <w:r w:rsidRPr="005B5922">
              <w:rPr>
                <w:rFonts w:cstheme="minorHAnsi"/>
                <w:color w:val="002060"/>
                <w:sz w:val="24"/>
                <w:szCs w:val="24"/>
              </w:rPr>
              <w:t>C</w:t>
            </w:r>
            <w:r w:rsidR="00961113" w:rsidRPr="005B5922">
              <w:rPr>
                <w:rFonts w:cstheme="minorHAnsi"/>
                <w:color w:val="002060"/>
                <w:sz w:val="24"/>
                <w:szCs w:val="24"/>
              </w:rPr>
              <w:t>ompetențe și formare digitale</w:t>
            </w:r>
          </w:p>
        </w:tc>
        <w:tc>
          <w:tcPr>
            <w:tcW w:w="1176" w:type="pct"/>
          </w:tcPr>
          <w:p w14:paraId="205DCB83" w14:textId="374F2E65" w:rsidR="001D57B5" w:rsidRPr="005B5922" w:rsidRDefault="00BD0BC2" w:rsidP="00B172DA">
            <w:pPr>
              <w:spacing w:before="60"/>
              <w:jc w:val="both"/>
              <w:rPr>
                <w:rFonts w:cstheme="minorHAnsi"/>
                <w:color w:val="002060"/>
                <w:sz w:val="24"/>
                <w:szCs w:val="24"/>
              </w:rPr>
            </w:pPr>
            <w:r w:rsidRPr="005B5922">
              <w:rPr>
                <w:rFonts w:cstheme="minorHAnsi"/>
                <w:color w:val="002060"/>
                <w:sz w:val="24"/>
                <w:szCs w:val="24"/>
              </w:rPr>
              <w:t>Prioritatea 3 FSE+</w:t>
            </w:r>
          </w:p>
          <w:p w14:paraId="323682BC" w14:textId="77777777" w:rsidR="00BD0BC2" w:rsidRPr="005B5922" w:rsidRDefault="00BD0BC2" w:rsidP="00B172DA">
            <w:pPr>
              <w:spacing w:before="60"/>
              <w:jc w:val="both"/>
              <w:rPr>
                <w:rFonts w:cstheme="minorHAnsi"/>
                <w:color w:val="002060"/>
                <w:sz w:val="24"/>
                <w:szCs w:val="24"/>
              </w:rPr>
            </w:pPr>
            <w:r w:rsidRPr="005B5922">
              <w:rPr>
                <w:rFonts w:cstheme="minorHAnsi"/>
                <w:color w:val="002060"/>
                <w:sz w:val="24"/>
                <w:szCs w:val="24"/>
              </w:rPr>
              <w:t xml:space="preserve">Intervenții de creștere a </w:t>
            </w:r>
          </w:p>
          <w:p w14:paraId="46715A32" w14:textId="09701956" w:rsidR="00BD0BC2" w:rsidRPr="005B5922" w:rsidRDefault="00BD0BC2" w:rsidP="00B172DA">
            <w:pPr>
              <w:spacing w:before="60"/>
              <w:jc w:val="both"/>
              <w:rPr>
                <w:rFonts w:cstheme="minorHAnsi"/>
                <w:bCs/>
                <w:color w:val="002060"/>
                <w:sz w:val="24"/>
                <w:szCs w:val="24"/>
                <w:lang w:eastAsia="en-GB"/>
              </w:rPr>
            </w:pPr>
            <w:r w:rsidRPr="005B5922">
              <w:rPr>
                <w:rFonts w:cstheme="minorHAnsi"/>
                <w:color w:val="002060"/>
                <w:sz w:val="24"/>
                <w:szCs w:val="24"/>
              </w:rPr>
              <w:t>e-</w:t>
            </w:r>
            <w:proofErr w:type="spellStart"/>
            <w:r w:rsidRPr="005B5922">
              <w:rPr>
                <w:rFonts w:cstheme="minorHAnsi"/>
                <w:color w:val="002060"/>
                <w:sz w:val="24"/>
                <w:szCs w:val="24"/>
              </w:rPr>
              <w:t>health</w:t>
            </w:r>
            <w:proofErr w:type="spellEnd"/>
            <w:r w:rsidRPr="005B5922">
              <w:rPr>
                <w:rFonts w:cstheme="minorHAnsi"/>
                <w:color w:val="002060"/>
                <w:sz w:val="24"/>
                <w:szCs w:val="24"/>
              </w:rPr>
              <w:t xml:space="preserve"> și digital </w:t>
            </w:r>
            <w:proofErr w:type="spellStart"/>
            <w:r w:rsidRPr="005B5922">
              <w:rPr>
                <w:rFonts w:cstheme="minorHAnsi"/>
                <w:color w:val="002060"/>
                <w:sz w:val="24"/>
                <w:szCs w:val="24"/>
              </w:rPr>
              <w:t>literacy</w:t>
            </w:r>
            <w:proofErr w:type="spellEnd"/>
          </w:p>
        </w:tc>
        <w:tc>
          <w:tcPr>
            <w:tcW w:w="574" w:type="pct"/>
          </w:tcPr>
          <w:p w14:paraId="4CEAA48F" w14:textId="368FA74A" w:rsidR="00546CAF" w:rsidRPr="005B5922" w:rsidRDefault="00546CAF" w:rsidP="00B172DA">
            <w:pPr>
              <w:spacing w:before="60"/>
              <w:jc w:val="both"/>
              <w:rPr>
                <w:rFonts w:cstheme="minorHAnsi"/>
                <w:color w:val="002060"/>
                <w:sz w:val="24"/>
                <w:szCs w:val="24"/>
              </w:rPr>
            </w:pPr>
            <w:r w:rsidRPr="005B5922">
              <w:rPr>
                <w:rFonts w:cstheme="minorHAnsi"/>
                <w:color w:val="002060"/>
                <w:sz w:val="24"/>
                <w:szCs w:val="24"/>
              </w:rPr>
              <w:t xml:space="preserve">Investiția 3 Crearea sistemului de </w:t>
            </w:r>
            <w:proofErr w:type="spellStart"/>
            <w:r w:rsidRPr="005B5922">
              <w:rPr>
                <w:rFonts w:cstheme="minorHAnsi"/>
                <w:color w:val="002060"/>
                <w:sz w:val="24"/>
                <w:szCs w:val="24"/>
              </w:rPr>
              <w:t>eHealth</w:t>
            </w:r>
            <w:proofErr w:type="spellEnd"/>
            <w:r w:rsidRPr="005B5922">
              <w:rPr>
                <w:rFonts w:cstheme="minorHAnsi"/>
                <w:color w:val="002060"/>
                <w:sz w:val="24"/>
                <w:szCs w:val="24"/>
              </w:rPr>
              <w:t xml:space="preserve"> si telemedicina </w:t>
            </w:r>
          </w:p>
          <w:p w14:paraId="542E07E6" w14:textId="4C7C0578" w:rsidR="001D57B5" w:rsidRPr="005B5922" w:rsidRDefault="00276E2E" w:rsidP="00B172DA">
            <w:pPr>
              <w:spacing w:before="60"/>
              <w:jc w:val="both"/>
              <w:rPr>
                <w:rFonts w:cstheme="minorHAnsi"/>
                <w:b/>
                <w:smallCaps/>
                <w:color w:val="002060"/>
                <w:sz w:val="24"/>
                <w:szCs w:val="24"/>
              </w:rPr>
            </w:pPr>
            <w:r w:rsidRPr="005B5922">
              <w:rPr>
                <w:rFonts w:cstheme="minorHAnsi"/>
                <w:color w:val="002060"/>
                <w:sz w:val="24"/>
                <w:szCs w:val="24"/>
              </w:rPr>
              <w:lastRenderedPageBreak/>
              <w:t>C</w:t>
            </w:r>
            <w:r w:rsidR="001D57B5" w:rsidRPr="005B5922">
              <w:rPr>
                <w:rFonts w:cstheme="minorHAnsi"/>
                <w:color w:val="002060"/>
                <w:sz w:val="24"/>
                <w:szCs w:val="24"/>
              </w:rPr>
              <w:t>ompetențe și formare digitale</w:t>
            </w:r>
          </w:p>
        </w:tc>
        <w:tc>
          <w:tcPr>
            <w:tcW w:w="2749" w:type="pct"/>
          </w:tcPr>
          <w:p w14:paraId="53E02511" w14:textId="6528103F" w:rsidR="001D57B5" w:rsidRPr="005B5922" w:rsidRDefault="00F03F56" w:rsidP="00B172DA">
            <w:pPr>
              <w:pStyle w:val="ManualHeading1"/>
              <w:tabs>
                <w:tab w:val="clear" w:pos="850"/>
                <w:tab w:val="left" w:pos="1418"/>
              </w:tabs>
              <w:spacing w:before="60" w:after="0"/>
              <w:ind w:left="0" w:firstLine="0"/>
              <w:rPr>
                <w:rFonts w:asciiTheme="minorHAnsi" w:hAnsiTheme="minorHAnsi" w:cstheme="minorHAnsi"/>
                <w:b w:val="0"/>
                <w:smallCaps w:val="0"/>
                <w:color w:val="002060"/>
                <w:szCs w:val="24"/>
                <w:lang w:val="ro-RO"/>
              </w:rPr>
            </w:pPr>
            <w:r w:rsidRPr="005B5922">
              <w:rPr>
                <w:rFonts w:asciiTheme="minorHAnsi" w:hAnsiTheme="minorHAnsi" w:cstheme="minorHAnsi"/>
                <w:b w:val="0"/>
                <w:smallCaps w:val="0"/>
                <w:color w:val="002060"/>
                <w:szCs w:val="24"/>
                <w:lang w:val="ro-RO"/>
              </w:rPr>
              <w:lastRenderedPageBreak/>
              <w:t>PNRR</w:t>
            </w:r>
            <w:r w:rsidR="001D57B5" w:rsidRPr="005B5922">
              <w:rPr>
                <w:rFonts w:asciiTheme="minorHAnsi" w:hAnsiTheme="minorHAnsi" w:cstheme="minorHAnsi"/>
                <w:b w:val="0"/>
                <w:smallCaps w:val="0"/>
                <w:color w:val="002060"/>
                <w:szCs w:val="24"/>
                <w:lang w:val="ro-RO"/>
              </w:rPr>
              <w:t xml:space="preserve"> va finanța instruirea personalului după cum urmează:</w:t>
            </w:r>
          </w:p>
          <w:p w14:paraId="58FAEA58" w14:textId="77777777" w:rsidR="001D57B5" w:rsidRPr="005B5922" w:rsidRDefault="001D57B5" w:rsidP="00B172DA">
            <w:pPr>
              <w:pStyle w:val="ListParagraph"/>
              <w:numPr>
                <w:ilvl w:val="0"/>
                <w:numId w:val="31"/>
              </w:numPr>
              <w:tabs>
                <w:tab w:val="clear" w:pos="720"/>
                <w:tab w:val="num" w:pos="426"/>
              </w:tabs>
              <w:spacing w:before="60"/>
              <w:ind w:left="426" w:hanging="426"/>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t>Pentru cele 60 de unități de sănătate publică, o componentă va fi axată pe instruirea personalului (2 970 de angajați) pentru utilizarea aplicațiilor informatice</w:t>
            </w:r>
          </w:p>
          <w:p w14:paraId="2CFD24C3" w14:textId="7478D7AC" w:rsidR="001D57B5" w:rsidRPr="005B5922" w:rsidRDefault="001D57B5" w:rsidP="00B172DA">
            <w:pPr>
              <w:pStyle w:val="ListParagraph"/>
              <w:numPr>
                <w:ilvl w:val="0"/>
                <w:numId w:val="31"/>
              </w:numPr>
              <w:tabs>
                <w:tab w:val="clear" w:pos="720"/>
                <w:tab w:val="num" w:pos="426"/>
              </w:tabs>
              <w:spacing w:before="60"/>
              <w:ind w:left="426" w:hanging="426"/>
              <w:contextualSpacing w:val="0"/>
              <w:jc w:val="both"/>
              <w:rPr>
                <w:rFonts w:asciiTheme="minorHAnsi" w:hAnsiTheme="minorHAnsi" w:cstheme="minorHAnsi"/>
                <w:color w:val="002060"/>
                <w:sz w:val="24"/>
                <w:szCs w:val="24"/>
                <w:lang w:val="ro-RO"/>
              </w:rPr>
            </w:pPr>
            <w:r w:rsidRPr="005B5922">
              <w:rPr>
                <w:rFonts w:asciiTheme="minorHAnsi" w:hAnsiTheme="minorHAnsi" w:cstheme="minorHAnsi"/>
                <w:color w:val="002060"/>
                <w:sz w:val="24"/>
                <w:szCs w:val="24"/>
                <w:lang w:val="ro-RO"/>
              </w:rPr>
              <w:lastRenderedPageBreak/>
              <w:t>Pentru cele 200 de unități medicale publice care vor fi digitalizate. O componentă va fi dedicată cursurilor de formare pentru 3 000 de medici pentru utilizarea aplicațiilor IT</w:t>
            </w:r>
          </w:p>
          <w:p w14:paraId="431ED5F3" w14:textId="6A5DCCB8" w:rsidR="001D57B5" w:rsidRPr="005B5922" w:rsidRDefault="001D57B5" w:rsidP="00B172DA">
            <w:pPr>
              <w:spacing w:before="60"/>
              <w:jc w:val="both"/>
              <w:rPr>
                <w:rFonts w:cstheme="minorHAnsi"/>
                <w:color w:val="002060"/>
                <w:sz w:val="24"/>
                <w:szCs w:val="24"/>
              </w:rPr>
            </w:pPr>
            <w:r w:rsidRPr="005B5922">
              <w:rPr>
                <w:rFonts w:cstheme="minorHAnsi"/>
                <w:color w:val="002060"/>
                <w:sz w:val="24"/>
                <w:szCs w:val="24"/>
                <w:lang w:eastAsia="en-GB"/>
              </w:rPr>
              <w:t xml:space="preserve">În cadrul </w:t>
            </w:r>
            <w:r w:rsidR="005B5922" w:rsidRPr="005B5922">
              <w:rPr>
                <w:rFonts w:cstheme="minorHAnsi"/>
                <w:color w:val="002060"/>
                <w:sz w:val="24"/>
                <w:szCs w:val="24"/>
                <w:lang w:eastAsia="en-GB"/>
              </w:rPr>
              <w:t>PS</w:t>
            </w:r>
            <w:r w:rsidRPr="005B5922">
              <w:rPr>
                <w:rFonts w:cstheme="minorHAnsi"/>
                <w:color w:val="002060"/>
                <w:sz w:val="24"/>
                <w:szCs w:val="24"/>
                <w:lang w:eastAsia="en-GB"/>
              </w:rPr>
              <w:t xml:space="preserve"> urmează să fie finanțată formarea personalului care va utiliza aplicațiile informatice dezvoltate în cadru</w:t>
            </w:r>
            <w:r w:rsidR="009A155E" w:rsidRPr="005B5922">
              <w:rPr>
                <w:rFonts w:cstheme="minorHAnsi"/>
                <w:color w:val="002060"/>
                <w:sz w:val="24"/>
                <w:szCs w:val="24"/>
                <w:lang w:eastAsia="en-GB"/>
              </w:rPr>
              <w:t xml:space="preserve">l </w:t>
            </w:r>
            <w:r w:rsidR="005B5922" w:rsidRPr="005B5922">
              <w:rPr>
                <w:rFonts w:cstheme="minorHAnsi"/>
                <w:color w:val="002060"/>
                <w:sz w:val="24"/>
                <w:szCs w:val="24"/>
                <w:lang w:eastAsia="en-GB"/>
              </w:rPr>
              <w:t>PS</w:t>
            </w:r>
            <w:r w:rsidRPr="005B5922">
              <w:rPr>
                <w:rFonts w:cstheme="minorHAnsi"/>
                <w:color w:val="002060"/>
                <w:sz w:val="24"/>
                <w:szCs w:val="24"/>
                <w:lang w:eastAsia="en-GB"/>
              </w:rPr>
              <w:t xml:space="preserve"> </w:t>
            </w:r>
            <w:r w:rsidR="00BD0BC2" w:rsidRPr="005B5922">
              <w:rPr>
                <w:rFonts w:cstheme="minorHAnsi"/>
                <w:color w:val="002060"/>
                <w:sz w:val="24"/>
                <w:szCs w:val="24"/>
                <w:lang w:eastAsia="en-GB"/>
              </w:rPr>
              <w:t>P</w:t>
            </w:r>
            <w:r w:rsidRPr="005B5922">
              <w:rPr>
                <w:rFonts w:cstheme="minorHAnsi"/>
                <w:color w:val="002060"/>
                <w:sz w:val="24"/>
                <w:szCs w:val="24"/>
                <w:lang w:eastAsia="en-GB"/>
              </w:rPr>
              <w:t>riorit</w:t>
            </w:r>
            <w:r w:rsidR="009A155E" w:rsidRPr="005B5922">
              <w:rPr>
                <w:rFonts w:cstheme="minorHAnsi"/>
                <w:color w:val="002060"/>
                <w:sz w:val="24"/>
                <w:szCs w:val="24"/>
                <w:lang w:eastAsia="en-GB"/>
              </w:rPr>
              <w:t xml:space="preserve">atea </w:t>
            </w:r>
            <w:r w:rsidRPr="005B5922">
              <w:rPr>
                <w:rFonts w:cstheme="minorHAnsi"/>
                <w:color w:val="002060"/>
                <w:sz w:val="24"/>
                <w:szCs w:val="24"/>
                <w:lang w:eastAsia="en-GB"/>
              </w:rPr>
              <w:t>6.</w:t>
            </w:r>
          </w:p>
        </w:tc>
      </w:tr>
    </w:tbl>
    <w:p w14:paraId="56175440" w14:textId="2D5AE7CD" w:rsidR="0050443F" w:rsidRPr="005B5922" w:rsidRDefault="0050443F" w:rsidP="00B172DA">
      <w:pPr>
        <w:spacing w:before="60" w:after="0" w:line="240" w:lineRule="auto"/>
        <w:jc w:val="both"/>
        <w:rPr>
          <w:rFonts w:cstheme="minorHAnsi"/>
          <w:color w:val="002060"/>
          <w:sz w:val="24"/>
          <w:szCs w:val="24"/>
        </w:rPr>
      </w:pPr>
    </w:p>
    <w:sectPr w:rsidR="0050443F" w:rsidRPr="005B5922" w:rsidSect="0010629E">
      <w:pgSz w:w="23811" w:h="16838"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hybridMultilevel"/>
    <w:tmpl w:val="0000000B"/>
    <w:lvl w:ilvl="0" w:tplc="6F20C086">
      <w:start w:val="1"/>
      <w:numFmt w:val="bullet"/>
      <w:lvlText w:val=""/>
      <w:lvlJc w:val="left"/>
      <w:pPr>
        <w:ind w:left="720" w:hanging="360"/>
      </w:pPr>
      <w:rPr>
        <w:rFonts w:ascii="Symbol" w:hAnsi="Symbol"/>
      </w:rPr>
    </w:lvl>
    <w:lvl w:ilvl="1" w:tplc="8EB077C4">
      <w:start w:val="1"/>
      <w:numFmt w:val="bullet"/>
      <w:lvlText w:val="o"/>
      <w:lvlJc w:val="left"/>
      <w:pPr>
        <w:tabs>
          <w:tab w:val="num" w:pos="1440"/>
        </w:tabs>
        <w:ind w:left="1440" w:hanging="360"/>
      </w:pPr>
      <w:rPr>
        <w:rFonts w:ascii="Courier New" w:hAnsi="Courier New"/>
      </w:rPr>
    </w:lvl>
    <w:lvl w:ilvl="2" w:tplc="1986745A">
      <w:start w:val="1"/>
      <w:numFmt w:val="bullet"/>
      <w:lvlText w:val=""/>
      <w:lvlJc w:val="left"/>
      <w:pPr>
        <w:tabs>
          <w:tab w:val="num" w:pos="2160"/>
        </w:tabs>
        <w:ind w:left="2160" w:hanging="360"/>
      </w:pPr>
      <w:rPr>
        <w:rFonts w:ascii="Wingdings" w:hAnsi="Wingdings"/>
      </w:rPr>
    </w:lvl>
    <w:lvl w:ilvl="3" w:tplc="0684352A">
      <w:start w:val="1"/>
      <w:numFmt w:val="bullet"/>
      <w:lvlText w:val=""/>
      <w:lvlJc w:val="left"/>
      <w:pPr>
        <w:tabs>
          <w:tab w:val="num" w:pos="2880"/>
        </w:tabs>
        <w:ind w:left="2880" w:hanging="360"/>
      </w:pPr>
      <w:rPr>
        <w:rFonts w:ascii="Symbol" w:hAnsi="Symbol"/>
      </w:rPr>
    </w:lvl>
    <w:lvl w:ilvl="4" w:tplc="D7B856C4">
      <w:start w:val="1"/>
      <w:numFmt w:val="bullet"/>
      <w:lvlText w:val="o"/>
      <w:lvlJc w:val="left"/>
      <w:pPr>
        <w:tabs>
          <w:tab w:val="num" w:pos="3600"/>
        </w:tabs>
        <w:ind w:left="3600" w:hanging="360"/>
      </w:pPr>
      <w:rPr>
        <w:rFonts w:ascii="Courier New" w:hAnsi="Courier New"/>
      </w:rPr>
    </w:lvl>
    <w:lvl w:ilvl="5" w:tplc="3316430A">
      <w:start w:val="1"/>
      <w:numFmt w:val="bullet"/>
      <w:lvlText w:val=""/>
      <w:lvlJc w:val="left"/>
      <w:pPr>
        <w:tabs>
          <w:tab w:val="num" w:pos="4320"/>
        </w:tabs>
        <w:ind w:left="4320" w:hanging="360"/>
      </w:pPr>
      <w:rPr>
        <w:rFonts w:ascii="Wingdings" w:hAnsi="Wingdings"/>
      </w:rPr>
    </w:lvl>
    <w:lvl w:ilvl="6" w:tplc="281AD68C">
      <w:start w:val="1"/>
      <w:numFmt w:val="bullet"/>
      <w:lvlText w:val=""/>
      <w:lvlJc w:val="left"/>
      <w:pPr>
        <w:tabs>
          <w:tab w:val="num" w:pos="5040"/>
        </w:tabs>
        <w:ind w:left="5040" w:hanging="360"/>
      </w:pPr>
      <w:rPr>
        <w:rFonts w:ascii="Symbol" w:hAnsi="Symbol"/>
      </w:rPr>
    </w:lvl>
    <w:lvl w:ilvl="7" w:tplc="7958C0E6">
      <w:start w:val="1"/>
      <w:numFmt w:val="bullet"/>
      <w:lvlText w:val="o"/>
      <w:lvlJc w:val="left"/>
      <w:pPr>
        <w:tabs>
          <w:tab w:val="num" w:pos="5760"/>
        </w:tabs>
        <w:ind w:left="5760" w:hanging="360"/>
      </w:pPr>
      <w:rPr>
        <w:rFonts w:ascii="Courier New" w:hAnsi="Courier New"/>
      </w:rPr>
    </w:lvl>
    <w:lvl w:ilvl="8" w:tplc="BBB469FE">
      <w:start w:val="1"/>
      <w:numFmt w:val="bullet"/>
      <w:lvlText w:val=""/>
      <w:lvlJc w:val="left"/>
      <w:pPr>
        <w:tabs>
          <w:tab w:val="num" w:pos="6480"/>
        </w:tabs>
        <w:ind w:left="6480" w:hanging="360"/>
      </w:pPr>
      <w:rPr>
        <w:rFonts w:ascii="Wingdings" w:hAnsi="Wingdings"/>
      </w:rPr>
    </w:lvl>
  </w:abstractNum>
  <w:abstractNum w:abstractNumId="1" w15:restartNumberingAfterBreak="0">
    <w:nsid w:val="0000002B"/>
    <w:multiLevelType w:val="hybridMultilevel"/>
    <w:tmpl w:val="0000002B"/>
    <w:lvl w:ilvl="0" w:tplc="034614DC">
      <w:start w:val="1"/>
      <w:numFmt w:val="bullet"/>
      <w:lvlText w:val=""/>
      <w:lvlJc w:val="left"/>
      <w:pPr>
        <w:ind w:left="720" w:hanging="360"/>
      </w:pPr>
      <w:rPr>
        <w:rFonts w:ascii="Symbol" w:hAnsi="Symbol"/>
      </w:rPr>
    </w:lvl>
    <w:lvl w:ilvl="1" w:tplc="A52C0954">
      <w:start w:val="1"/>
      <w:numFmt w:val="bullet"/>
      <w:lvlText w:val="o"/>
      <w:lvlJc w:val="left"/>
      <w:pPr>
        <w:tabs>
          <w:tab w:val="num" w:pos="1440"/>
        </w:tabs>
        <w:ind w:left="1440" w:hanging="360"/>
      </w:pPr>
      <w:rPr>
        <w:rFonts w:ascii="Courier New" w:hAnsi="Courier New"/>
      </w:rPr>
    </w:lvl>
    <w:lvl w:ilvl="2" w:tplc="43325BEC">
      <w:start w:val="1"/>
      <w:numFmt w:val="bullet"/>
      <w:lvlText w:val=""/>
      <w:lvlJc w:val="left"/>
      <w:pPr>
        <w:tabs>
          <w:tab w:val="num" w:pos="2160"/>
        </w:tabs>
        <w:ind w:left="2160" w:hanging="360"/>
      </w:pPr>
      <w:rPr>
        <w:rFonts w:ascii="Wingdings" w:hAnsi="Wingdings"/>
      </w:rPr>
    </w:lvl>
    <w:lvl w:ilvl="3" w:tplc="DCEA9D06">
      <w:start w:val="1"/>
      <w:numFmt w:val="bullet"/>
      <w:lvlText w:val=""/>
      <w:lvlJc w:val="left"/>
      <w:pPr>
        <w:tabs>
          <w:tab w:val="num" w:pos="2880"/>
        </w:tabs>
        <w:ind w:left="2880" w:hanging="360"/>
      </w:pPr>
      <w:rPr>
        <w:rFonts w:ascii="Symbol" w:hAnsi="Symbol"/>
      </w:rPr>
    </w:lvl>
    <w:lvl w:ilvl="4" w:tplc="764C9BEE">
      <w:start w:val="1"/>
      <w:numFmt w:val="bullet"/>
      <w:lvlText w:val="o"/>
      <w:lvlJc w:val="left"/>
      <w:pPr>
        <w:tabs>
          <w:tab w:val="num" w:pos="3600"/>
        </w:tabs>
        <w:ind w:left="3600" w:hanging="360"/>
      </w:pPr>
      <w:rPr>
        <w:rFonts w:ascii="Courier New" w:hAnsi="Courier New"/>
      </w:rPr>
    </w:lvl>
    <w:lvl w:ilvl="5" w:tplc="674E8C7A">
      <w:start w:val="1"/>
      <w:numFmt w:val="bullet"/>
      <w:lvlText w:val=""/>
      <w:lvlJc w:val="left"/>
      <w:pPr>
        <w:tabs>
          <w:tab w:val="num" w:pos="4320"/>
        </w:tabs>
        <w:ind w:left="4320" w:hanging="360"/>
      </w:pPr>
      <w:rPr>
        <w:rFonts w:ascii="Wingdings" w:hAnsi="Wingdings"/>
      </w:rPr>
    </w:lvl>
    <w:lvl w:ilvl="6" w:tplc="853CDF46">
      <w:start w:val="1"/>
      <w:numFmt w:val="bullet"/>
      <w:lvlText w:val=""/>
      <w:lvlJc w:val="left"/>
      <w:pPr>
        <w:tabs>
          <w:tab w:val="num" w:pos="5040"/>
        </w:tabs>
        <w:ind w:left="5040" w:hanging="360"/>
      </w:pPr>
      <w:rPr>
        <w:rFonts w:ascii="Symbol" w:hAnsi="Symbol"/>
      </w:rPr>
    </w:lvl>
    <w:lvl w:ilvl="7" w:tplc="0CDE2212">
      <w:start w:val="1"/>
      <w:numFmt w:val="bullet"/>
      <w:lvlText w:val="o"/>
      <w:lvlJc w:val="left"/>
      <w:pPr>
        <w:tabs>
          <w:tab w:val="num" w:pos="5760"/>
        </w:tabs>
        <w:ind w:left="5760" w:hanging="360"/>
      </w:pPr>
      <w:rPr>
        <w:rFonts w:ascii="Courier New" w:hAnsi="Courier New"/>
      </w:rPr>
    </w:lvl>
    <w:lvl w:ilvl="8" w:tplc="77EAE92C">
      <w:start w:val="1"/>
      <w:numFmt w:val="bullet"/>
      <w:lvlText w:val=""/>
      <w:lvlJc w:val="left"/>
      <w:pPr>
        <w:tabs>
          <w:tab w:val="num" w:pos="6480"/>
        </w:tabs>
        <w:ind w:left="6480" w:hanging="360"/>
      </w:pPr>
      <w:rPr>
        <w:rFonts w:ascii="Wingdings" w:hAnsi="Wingdings"/>
      </w:rPr>
    </w:lvl>
  </w:abstractNum>
  <w:abstractNum w:abstractNumId="2" w15:restartNumberingAfterBreak="0">
    <w:nsid w:val="0000002E"/>
    <w:multiLevelType w:val="hybridMultilevel"/>
    <w:tmpl w:val="0000002E"/>
    <w:lvl w:ilvl="0" w:tplc="20FA73D8">
      <w:start w:val="1"/>
      <w:numFmt w:val="bullet"/>
      <w:lvlText w:val=""/>
      <w:lvlJc w:val="left"/>
      <w:pPr>
        <w:ind w:left="720" w:hanging="360"/>
      </w:pPr>
      <w:rPr>
        <w:rFonts w:ascii="Symbol" w:hAnsi="Symbol"/>
      </w:rPr>
    </w:lvl>
    <w:lvl w:ilvl="1" w:tplc="96D278D2">
      <w:start w:val="1"/>
      <w:numFmt w:val="bullet"/>
      <w:lvlText w:val="o"/>
      <w:lvlJc w:val="left"/>
      <w:pPr>
        <w:tabs>
          <w:tab w:val="num" w:pos="1440"/>
        </w:tabs>
        <w:ind w:left="1440" w:hanging="360"/>
      </w:pPr>
      <w:rPr>
        <w:rFonts w:ascii="Courier New" w:hAnsi="Courier New"/>
      </w:rPr>
    </w:lvl>
    <w:lvl w:ilvl="2" w:tplc="7BB44814">
      <w:start w:val="1"/>
      <w:numFmt w:val="bullet"/>
      <w:lvlText w:val=""/>
      <w:lvlJc w:val="left"/>
      <w:pPr>
        <w:tabs>
          <w:tab w:val="num" w:pos="2160"/>
        </w:tabs>
        <w:ind w:left="2160" w:hanging="360"/>
      </w:pPr>
      <w:rPr>
        <w:rFonts w:ascii="Wingdings" w:hAnsi="Wingdings"/>
      </w:rPr>
    </w:lvl>
    <w:lvl w:ilvl="3" w:tplc="8738EFD4">
      <w:start w:val="1"/>
      <w:numFmt w:val="bullet"/>
      <w:lvlText w:val=""/>
      <w:lvlJc w:val="left"/>
      <w:pPr>
        <w:tabs>
          <w:tab w:val="num" w:pos="2880"/>
        </w:tabs>
        <w:ind w:left="2880" w:hanging="360"/>
      </w:pPr>
      <w:rPr>
        <w:rFonts w:ascii="Symbol" w:hAnsi="Symbol"/>
      </w:rPr>
    </w:lvl>
    <w:lvl w:ilvl="4" w:tplc="1D56C908">
      <w:start w:val="1"/>
      <w:numFmt w:val="bullet"/>
      <w:lvlText w:val="o"/>
      <w:lvlJc w:val="left"/>
      <w:pPr>
        <w:tabs>
          <w:tab w:val="num" w:pos="3600"/>
        </w:tabs>
        <w:ind w:left="3600" w:hanging="360"/>
      </w:pPr>
      <w:rPr>
        <w:rFonts w:ascii="Courier New" w:hAnsi="Courier New"/>
      </w:rPr>
    </w:lvl>
    <w:lvl w:ilvl="5" w:tplc="C64007FC">
      <w:start w:val="1"/>
      <w:numFmt w:val="bullet"/>
      <w:lvlText w:val=""/>
      <w:lvlJc w:val="left"/>
      <w:pPr>
        <w:tabs>
          <w:tab w:val="num" w:pos="4320"/>
        </w:tabs>
        <w:ind w:left="4320" w:hanging="360"/>
      </w:pPr>
      <w:rPr>
        <w:rFonts w:ascii="Wingdings" w:hAnsi="Wingdings"/>
      </w:rPr>
    </w:lvl>
    <w:lvl w:ilvl="6" w:tplc="C9729F4E">
      <w:start w:val="1"/>
      <w:numFmt w:val="bullet"/>
      <w:lvlText w:val=""/>
      <w:lvlJc w:val="left"/>
      <w:pPr>
        <w:tabs>
          <w:tab w:val="num" w:pos="5040"/>
        </w:tabs>
        <w:ind w:left="5040" w:hanging="360"/>
      </w:pPr>
      <w:rPr>
        <w:rFonts w:ascii="Symbol" w:hAnsi="Symbol"/>
      </w:rPr>
    </w:lvl>
    <w:lvl w:ilvl="7" w:tplc="243C564C">
      <w:start w:val="1"/>
      <w:numFmt w:val="bullet"/>
      <w:lvlText w:val="o"/>
      <w:lvlJc w:val="left"/>
      <w:pPr>
        <w:tabs>
          <w:tab w:val="num" w:pos="5760"/>
        </w:tabs>
        <w:ind w:left="5760" w:hanging="360"/>
      </w:pPr>
      <w:rPr>
        <w:rFonts w:ascii="Courier New" w:hAnsi="Courier New"/>
      </w:rPr>
    </w:lvl>
    <w:lvl w:ilvl="8" w:tplc="0EEA65AC">
      <w:start w:val="1"/>
      <w:numFmt w:val="bullet"/>
      <w:lvlText w:val=""/>
      <w:lvlJc w:val="left"/>
      <w:pPr>
        <w:tabs>
          <w:tab w:val="num" w:pos="6480"/>
        </w:tabs>
        <w:ind w:left="6480" w:hanging="360"/>
      </w:pPr>
      <w:rPr>
        <w:rFonts w:ascii="Wingdings" w:hAnsi="Wingdings"/>
      </w:rPr>
    </w:lvl>
  </w:abstractNum>
  <w:abstractNum w:abstractNumId="3" w15:restartNumberingAfterBreak="0">
    <w:nsid w:val="00000042"/>
    <w:multiLevelType w:val="hybridMultilevel"/>
    <w:tmpl w:val="00000042"/>
    <w:lvl w:ilvl="0" w:tplc="B7B4F488">
      <w:start w:val="1"/>
      <w:numFmt w:val="bullet"/>
      <w:lvlText w:val=""/>
      <w:lvlJc w:val="left"/>
      <w:pPr>
        <w:ind w:left="720" w:hanging="360"/>
      </w:pPr>
      <w:rPr>
        <w:rFonts w:ascii="Symbol" w:hAnsi="Symbol"/>
      </w:rPr>
    </w:lvl>
    <w:lvl w:ilvl="1" w:tplc="96D61674">
      <w:start w:val="1"/>
      <w:numFmt w:val="bullet"/>
      <w:lvlText w:val="o"/>
      <w:lvlJc w:val="left"/>
      <w:pPr>
        <w:tabs>
          <w:tab w:val="num" w:pos="1440"/>
        </w:tabs>
        <w:ind w:left="1440" w:hanging="360"/>
      </w:pPr>
      <w:rPr>
        <w:rFonts w:ascii="Courier New" w:hAnsi="Courier New"/>
      </w:rPr>
    </w:lvl>
    <w:lvl w:ilvl="2" w:tplc="AC6E6AFA">
      <w:start w:val="1"/>
      <w:numFmt w:val="bullet"/>
      <w:lvlText w:val=""/>
      <w:lvlJc w:val="left"/>
      <w:pPr>
        <w:tabs>
          <w:tab w:val="num" w:pos="2160"/>
        </w:tabs>
        <w:ind w:left="2160" w:hanging="360"/>
      </w:pPr>
      <w:rPr>
        <w:rFonts w:ascii="Wingdings" w:hAnsi="Wingdings"/>
      </w:rPr>
    </w:lvl>
    <w:lvl w:ilvl="3" w:tplc="58682AFE">
      <w:start w:val="1"/>
      <w:numFmt w:val="bullet"/>
      <w:lvlText w:val=""/>
      <w:lvlJc w:val="left"/>
      <w:pPr>
        <w:tabs>
          <w:tab w:val="num" w:pos="2880"/>
        </w:tabs>
        <w:ind w:left="2880" w:hanging="360"/>
      </w:pPr>
      <w:rPr>
        <w:rFonts w:ascii="Symbol" w:hAnsi="Symbol"/>
      </w:rPr>
    </w:lvl>
    <w:lvl w:ilvl="4" w:tplc="DF4E33F0">
      <w:start w:val="1"/>
      <w:numFmt w:val="bullet"/>
      <w:lvlText w:val="o"/>
      <w:lvlJc w:val="left"/>
      <w:pPr>
        <w:tabs>
          <w:tab w:val="num" w:pos="3600"/>
        </w:tabs>
        <w:ind w:left="3600" w:hanging="360"/>
      </w:pPr>
      <w:rPr>
        <w:rFonts w:ascii="Courier New" w:hAnsi="Courier New"/>
      </w:rPr>
    </w:lvl>
    <w:lvl w:ilvl="5" w:tplc="D3E47FAC">
      <w:start w:val="1"/>
      <w:numFmt w:val="bullet"/>
      <w:lvlText w:val=""/>
      <w:lvlJc w:val="left"/>
      <w:pPr>
        <w:tabs>
          <w:tab w:val="num" w:pos="4320"/>
        </w:tabs>
        <w:ind w:left="4320" w:hanging="360"/>
      </w:pPr>
      <w:rPr>
        <w:rFonts w:ascii="Wingdings" w:hAnsi="Wingdings"/>
      </w:rPr>
    </w:lvl>
    <w:lvl w:ilvl="6" w:tplc="4754F88C">
      <w:start w:val="1"/>
      <w:numFmt w:val="bullet"/>
      <w:lvlText w:val=""/>
      <w:lvlJc w:val="left"/>
      <w:pPr>
        <w:tabs>
          <w:tab w:val="num" w:pos="5040"/>
        </w:tabs>
        <w:ind w:left="5040" w:hanging="360"/>
      </w:pPr>
      <w:rPr>
        <w:rFonts w:ascii="Symbol" w:hAnsi="Symbol"/>
      </w:rPr>
    </w:lvl>
    <w:lvl w:ilvl="7" w:tplc="AC3C292A">
      <w:start w:val="1"/>
      <w:numFmt w:val="bullet"/>
      <w:lvlText w:val="o"/>
      <w:lvlJc w:val="left"/>
      <w:pPr>
        <w:tabs>
          <w:tab w:val="num" w:pos="5760"/>
        </w:tabs>
        <w:ind w:left="5760" w:hanging="360"/>
      </w:pPr>
      <w:rPr>
        <w:rFonts w:ascii="Courier New" w:hAnsi="Courier New"/>
      </w:rPr>
    </w:lvl>
    <w:lvl w:ilvl="8" w:tplc="8604DD8C">
      <w:start w:val="1"/>
      <w:numFmt w:val="bullet"/>
      <w:lvlText w:val=""/>
      <w:lvlJc w:val="left"/>
      <w:pPr>
        <w:tabs>
          <w:tab w:val="num" w:pos="6480"/>
        </w:tabs>
        <w:ind w:left="6480" w:hanging="360"/>
      </w:pPr>
      <w:rPr>
        <w:rFonts w:ascii="Wingdings" w:hAnsi="Wingdings"/>
      </w:rPr>
    </w:lvl>
  </w:abstractNum>
  <w:abstractNum w:abstractNumId="4" w15:restartNumberingAfterBreak="0">
    <w:nsid w:val="038E0BD9"/>
    <w:multiLevelType w:val="hybridMultilevel"/>
    <w:tmpl w:val="60DA298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3B260A6"/>
    <w:multiLevelType w:val="hybridMultilevel"/>
    <w:tmpl w:val="021C2608"/>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6" w15:restartNumberingAfterBreak="0">
    <w:nsid w:val="0989011E"/>
    <w:multiLevelType w:val="multilevel"/>
    <w:tmpl w:val="DD56D964"/>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C3B53DC"/>
    <w:multiLevelType w:val="hybridMultilevel"/>
    <w:tmpl w:val="C71CF81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3A71B93"/>
    <w:multiLevelType w:val="hybridMultilevel"/>
    <w:tmpl w:val="11AC710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56C0C19"/>
    <w:multiLevelType w:val="hybridMultilevel"/>
    <w:tmpl w:val="AA52A9E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6B1C5E"/>
    <w:multiLevelType w:val="hybridMultilevel"/>
    <w:tmpl w:val="00FAD09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1671FB3"/>
    <w:multiLevelType w:val="hybridMultilevel"/>
    <w:tmpl w:val="AC3887D4"/>
    <w:lvl w:ilvl="0" w:tplc="146014B0">
      <w:start w:val="1"/>
      <w:numFmt w:val="bullet"/>
      <w:lvlText w:val=""/>
      <w:lvlJc w:val="left"/>
      <w:pPr>
        <w:ind w:left="360" w:hanging="360"/>
      </w:pPr>
      <w:rPr>
        <w:rFonts w:ascii="Wingdings 3" w:hAnsi="Wingdings 3" w:hint="default"/>
        <w:color w:val="FFC000"/>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1A866C6"/>
    <w:multiLevelType w:val="hybridMultilevel"/>
    <w:tmpl w:val="FD3463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50E3350"/>
    <w:multiLevelType w:val="hybridMultilevel"/>
    <w:tmpl w:val="81A2B6B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7354764"/>
    <w:multiLevelType w:val="hybridMultilevel"/>
    <w:tmpl w:val="B29A5C1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0C37518"/>
    <w:multiLevelType w:val="hybridMultilevel"/>
    <w:tmpl w:val="F18A0440"/>
    <w:lvl w:ilvl="0" w:tplc="9A9E48A4">
      <w:start w:val="1"/>
      <w:numFmt w:val="lowerLetter"/>
      <w:lvlText w:val="%1)"/>
      <w:lvlJc w:val="left"/>
      <w:pPr>
        <w:ind w:left="644" w:hanging="360"/>
      </w:pPr>
      <w:rPr>
        <w:rFonts w:hint="default"/>
        <w:b w:val="0"/>
        <w:color w:val="auto"/>
        <w:sz w:val="16"/>
        <w:szCs w:val="24"/>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397853"/>
    <w:multiLevelType w:val="hybridMultilevel"/>
    <w:tmpl w:val="5A9EC85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73351BA"/>
    <w:multiLevelType w:val="hybridMultilevel"/>
    <w:tmpl w:val="06E86A8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8282159"/>
    <w:multiLevelType w:val="multilevel"/>
    <w:tmpl w:val="12BE4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91E6C49"/>
    <w:multiLevelType w:val="hybridMultilevel"/>
    <w:tmpl w:val="EFAC49A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A6569BE"/>
    <w:multiLevelType w:val="hybridMultilevel"/>
    <w:tmpl w:val="E454F2A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56F011D"/>
    <w:multiLevelType w:val="hybridMultilevel"/>
    <w:tmpl w:val="AC12C78E"/>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8A411EB"/>
    <w:multiLevelType w:val="hybridMultilevel"/>
    <w:tmpl w:val="A38A912E"/>
    <w:lvl w:ilvl="0" w:tplc="ACD864BC">
      <w:start w:val="1"/>
      <w:numFmt w:val="bullet"/>
      <w:lvlText w:val="o"/>
      <w:lvlJc w:val="left"/>
      <w:pPr>
        <w:ind w:left="720" w:hanging="360"/>
      </w:pPr>
      <w:rPr>
        <w:rFonts w:ascii="Courier New" w:hAnsi="Courier New" w:hint="default"/>
        <w:color w:val="auto"/>
        <w:sz w:val="16"/>
      </w:rPr>
    </w:lvl>
    <w:lvl w:ilvl="1" w:tplc="04180003">
      <w:start w:val="1"/>
      <w:numFmt w:val="bullet"/>
      <w:lvlText w:val="o"/>
      <w:lvlJc w:val="left"/>
      <w:pPr>
        <w:ind w:left="1440" w:hanging="360"/>
      </w:pPr>
      <w:rPr>
        <w:rFonts w:ascii="Courier New" w:hAnsi="Courier New" w:cs="Courier New" w:hint="default"/>
      </w:rPr>
    </w:lvl>
    <w:lvl w:ilvl="2" w:tplc="006EC450">
      <w:start w:val="2"/>
      <w:numFmt w:val="bullet"/>
      <w:lvlText w:val=""/>
      <w:lvlJc w:val="left"/>
      <w:pPr>
        <w:ind w:left="2160" w:hanging="360"/>
      </w:pPr>
      <w:rPr>
        <w:rFonts w:ascii="Symbol" w:eastAsiaTheme="minorHAnsi" w:hAnsi="Symbol" w:cstheme="minorBid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EB54B23"/>
    <w:multiLevelType w:val="hybridMultilevel"/>
    <w:tmpl w:val="A508CB46"/>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0493750"/>
    <w:multiLevelType w:val="hybridMultilevel"/>
    <w:tmpl w:val="4B58CC20"/>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1560406"/>
    <w:multiLevelType w:val="hybridMultilevel"/>
    <w:tmpl w:val="3AF405C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7DF6126"/>
    <w:multiLevelType w:val="hybridMultilevel"/>
    <w:tmpl w:val="59F0B54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654F48DF"/>
    <w:multiLevelType w:val="hybridMultilevel"/>
    <w:tmpl w:val="981E4E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FC502C"/>
    <w:multiLevelType w:val="hybridMultilevel"/>
    <w:tmpl w:val="D1183838"/>
    <w:lvl w:ilvl="0" w:tplc="ACD864BC">
      <w:start w:val="1"/>
      <w:numFmt w:val="bullet"/>
      <w:lvlText w:val="o"/>
      <w:lvlJc w:val="left"/>
      <w:pPr>
        <w:ind w:left="720" w:hanging="360"/>
      </w:pPr>
      <w:rPr>
        <w:rFonts w:ascii="Courier New" w:hAnsi="Courier New" w:hint="default"/>
        <w:color w:val="auto"/>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AF803A8"/>
    <w:multiLevelType w:val="multilevel"/>
    <w:tmpl w:val="CAAEF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F710146"/>
    <w:multiLevelType w:val="hybridMultilevel"/>
    <w:tmpl w:val="375881E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0651719"/>
    <w:multiLevelType w:val="hybridMultilevel"/>
    <w:tmpl w:val="85963264"/>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641301"/>
    <w:multiLevelType w:val="hybridMultilevel"/>
    <w:tmpl w:val="9F8068EC"/>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E34539F"/>
    <w:multiLevelType w:val="hybridMultilevel"/>
    <w:tmpl w:val="6DA4881C"/>
    <w:lvl w:ilvl="0" w:tplc="FFFFFFFF">
      <w:start w:val="1"/>
      <w:numFmt w:val="decimal"/>
      <w:lvlText w:val="%1."/>
      <w:lvlJc w:val="left"/>
      <w:pPr>
        <w:ind w:left="644" w:hanging="360"/>
      </w:pPr>
      <w:rPr>
        <w:rFonts w:ascii="Times New Roman" w:hAnsi="Times New Roman" w:cs="Times New Roman" w:hint="default"/>
        <w:b w:val="0"/>
        <w:color w:val="auto"/>
        <w:sz w:val="24"/>
        <w:szCs w:val="24"/>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17534399">
    <w:abstractNumId w:val="13"/>
  </w:num>
  <w:num w:numId="2" w16cid:durableId="999963953">
    <w:abstractNumId w:val="26"/>
  </w:num>
  <w:num w:numId="3" w16cid:durableId="1838644011">
    <w:abstractNumId w:val="20"/>
  </w:num>
  <w:num w:numId="4" w16cid:durableId="105279155">
    <w:abstractNumId w:val="22"/>
  </w:num>
  <w:num w:numId="5" w16cid:durableId="1700232858">
    <w:abstractNumId w:val="28"/>
  </w:num>
  <w:num w:numId="6" w16cid:durableId="1079713363">
    <w:abstractNumId w:val="33"/>
  </w:num>
  <w:num w:numId="7" w16cid:durableId="2101637884">
    <w:abstractNumId w:val="30"/>
  </w:num>
  <w:num w:numId="8" w16cid:durableId="9568754">
    <w:abstractNumId w:val="15"/>
  </w:num>
  <w:num w:numId="9" w16cid:durableId="1432584167">
    <w:abstractNumId w:val="29"/>
  </w:num>
  <w:num w:numId="10" w16cid:durableId="850992539">
    <w:abstractNumId w:val="18"/>
  </w:num>
  <w:num w:numId="11" w16cid:durableId="1331375079">
    <w:abstractNumId w:val="11"/>
  </w:num>
  <w:num w:numId="12" w16cid:durableId="145584994">
    <w:abstractNumId w:val="21"/>
  </w:num>
  <w:num w:numId="13" w16cid:durableId="1399135635">
    <w:abstractNumId w:val="23"/>
  </w:num>
  <w:num w:numId="14" w16cid:durableId="210725782">
    <w:abstractNumId w:val="9"/>
  </w:num>
  <w:num w:numId="15" w16cid:durableId="1085884661">
    <w:abstractNumId w:val="14"/>
  </w:num>
  <w:num w:numId="16" w16cid:durableId="670182021">
    <w:abstractNumId w:val="12"/>
  </w:num>
  <w:num w:numId="17" w16cid:durableId="1311329338">
    <w:abstractNumId w:val="10"/>
  </w:num>
  <w:num w:numId="18" w16cid:durableId="2103600754">
    <w:abstractNumId w:val="32"/>
  </w:num>
  <w:num w:numId="19" w16cid:durableId="889001961">
    <w:abstractNumId w:val="5"/>
  </w:num>
  <w:num w:numId="20" w16cid:durableId="311639003">
    <w:abstractNumId w:val="31"/>
  </w:num>
  <w:num w:numId="21" w16cid:durableId="297955948">
    <w:abstractNumId w:val="27"/>
  </w:num>
  <w:num w:numId="22" w16cid:durableId="231544467">
    <w:abstractNumId w:val="17"/>
  </w:num>
  <w:num w:numId="23" w16cid:durableId="1971471232">
    <w:abstractNumId w:val="19"/>
  </w:num>
  <w:num w:numId="24" w16cid:durableId="1623000898">
    <w:abstractNumId w:val="16"/>
  </w:num>
  <w:num w:numId="25" w16cid:durableId="937715350">
    <w:abstractNumId w:val="25"/>
  </w:num>
  <w:num w:numId="26" w16cid:durableId="1682269571">
    <w:abstractNumId w:val="0"/>
  </w:num>
  <w:num w:numId="27" w16cid:durableId="513229293">
    <w:abstractNumId w:val="24"/>
  </w:num>
  <w:num w:numId="28" w16cid:durableId="1975672037">
    <w:abstractNumId w:val="4"/>
  </w:num>
  <w:num w:numId="29" w16cid:durableId="152452824">
    <w:abstractNumId w:val="8"/>
  </w:num>
  <w:num w:numId="30" w16cid:durableId="1951546865">
    <w:abstractNumId w:val="7"/>
  </w:num>
  <w:num w:numId="31" w16cid:durableId="352927507">
    <w:abstractNumId w:val="6"/>
  </w:num>
  <w:num w:numId="32" w16cid:durableId="1259483788">
    <w:abstractNumId w:val="1"/>
  </w:num>
  <w:num w:numId="33" w16cid:durableId="49572132">
    <w:abstractNumId w:val="2"/>
  </w:num>
  <w:num w:numId="34" w16cid:durableId="14852431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3F"/>
    <w:rsid w:val="0000150D"/>
    <w:rsid w:val="00003F9B"/>
    <w:rsid w:val="00027AB5"/>
    <w:rsid w:val="00062A1B"/>
    <w:rsid w:val="00072C90"/>
    <w:rsid w:val="00090619"/>
    <w:rsid w:val="000A59A8"/>
    <w:rsid w:val="000B09C7"/>
    <w:rsid w:val="000B114F"/>
    <w:rsid w:val="000B282D"/>
    <w:rsid w:val="000C2085"/>
    <w:rsid w:val="000E0AAB"/>
    <w:rsid w:val="000E2A69"/>
    <w:rsid w:val="000E4A5A"/>
    <w:rsid w:val="000F0058"/>
    <w:rsid w:val="00102981"/>
    <w:rsid w:val="0010498A"/>
    <w:rsid w:val="00105728"/>
    <w:rsid w:val="0010629E"/>
    <w:rsid w:val="001228FD"/>
    <w:rsid w:val="0012364D"/>
    <w:rsid w:val="001272EC"/>
    <w:rsid w:val="001412EF"/>
    <w:rsid w:val="00152984"/>
    <w:rsid w:val="0015600C"/>
    <w:rsid w:val="00157EFE"/>
    <w:rsid w:val="001725CE"/>
    <w:rsid w:val="00172A09"/>
    <w:rsid w:val="001837FE"/>
    <w:rsid w:val="00191165"/>
    <w:rsid w:val="001924DF"/>
    <w:rsid w:val="001A7BD5"/>
    <w:rsid w:val="001A7C0E"/>
    <w:rsid w:val="001C06F3"/>
    <w:rsid w:val="001D57B5"/>
    <w:rsid w:val="001F2632"/>
    <w:rsid w:val="00215CA8"/>
    <w:rsid w:val="00245587"/>
    <w:rsid w:val="00247AFC"/>
    <w:rsid w:val="00251B94"/>
    <w:rsid w:val="002523F2"/>
    <w:rsid w:val="00256C5C"/>
    <w:rsid w:val="00276E2E"/>
    <w:rsid w:val="0028511E"/>
    <w:rsid w:val="00294363"/>
    <w:rsid w:val="002A7FC5"/>
    <w:rsid w:val="002B6F22"/>
    <w:rsid w:val="002D78F0"/>
    <w:rsid w:val="002E7D93"/>
    <w:rsid w:val="002F5C29"/>
    <w:rsid w:val="00327292"/>
    <w:rsid w:val="003311FD"/>
    <w:rsid w:val="00332642"/>
    <w:rsid w:val="00342523"/>
    <w:rsid w:val="003460E9"/>
    <w:rsid w:val="003507F3"/>
    <w:rsid w:val="0035691D"/>
    <w:rsid w:val="00357189"/>
    <w:rsid w:val="0035731A"/>
    <w:rsid w:val="00374D8E"/>
    <w:rsid w:val="00397E43"/>
    <w:rsid w:val="003A2CDC"/>
    <w:rsid w:val="003B5C91"/>
    <w:rsid w:val="003C2320"/>
    <w:rsid w:val="003D7476"/>
    <w:rsid w:val="003E0B62"/>
    <w:rsid w:val="00405279"/>
    <w:rsid w:val="0040554F"/>
    <w:rsid w:val="004063AB"/>
    <w:rsid w:val="004117E1"/>
    <w:rsid w:val="00420B12"/>
    <w:rsid w:val="00433289"/>
    <w:rsid w:val="00436FC5"/>
    <w:rsid w:val="00445DB6"/>
    <w:rsid w:val="00457BE9"/>
    <w:rsid w:val="00466946"/>
    <w:rsid w:val="00483D00"/>
    <w:rsid w:val="00492405"/>
    <w:rsid w:val="004A1A5B"/>
    <w:rsid w:val="004A4545"/>
    <w:rsid w:val="004C27AE"/>
    <w:rsid w:val="004D0C25"/>
    <w:rsid w:val="004F5B5B"/>
    <w:rsid w:val="004F73CC"/>
    <w:rsid w:val="0050443F"/>
    <w:rsid w:val="00505A11"/>
    <w:rsid w:val="0050699C"/>
    <w:rsid w:val="00507152"/>
    <w:rsid w:val="00507724"/>
    <w:rsid w:val="005130CA"/>
    <w:rsid w:val="00516267"/>
    <w:rsid w:val="00522EB1"/>
    <w:rsid w:val="0052520F"/>
    <w:rsid w:val="00534F11"/>
    <w:rsid w:val="00537FCE"/>
    <w:rsid w:val="0054057F"/>
    <w:rsid w:val="00546CAF"/>
    <w:rsid w:val="00571B5B"/>
    <w:rsid w:val="005748DF"/>
    <w:rsid w:val="0058298F"/>
    <w:rsid w:val="00586B75"/>
    <w:rsid w:val="00586FDC"/>
    <w:rsid w:val="00591255"/>
    <w:rsid w:val="00591A63"/>
    <w:rsid w:val="005B5922"/>
    <w:rsid w:val="005B7C57"/>
    <w:rsid w:val="005C640B"/>
    <w:rsid w:val="005D2640"/>
    <w:rsid w:val="005D30C0"/>
    <w:rsid w:val="005D3C94"/>
    <w:rsid w:val="005D5E2C"/>
    <w:rsid w:val="005E33E2"/>
    <w:rsid w:val="005E41DB"/>
    <w:rsid w:val="005F7E83"/>
    <w:rsid w:val="0061434C"/>
    <w:rsid w:val="006208DF"/>
    <w:rsid w:val="0062783F"/>
    <w:rsid w:val="006307DE"/>
    <w:rsid w:val="006439DF"/>
    <w:rsid w:val="0065387D"/>
    <w:rsid w:val="00666E72"/>
    <w:rsid w:val="006747EF"/>
    <w:rsid w:val="00675A98"/>
    <w:rsid w:val="00680102"/>
    <w:rsid w:val="006A0540"/>
    <w:rsid w:val="006A2825"/>
    <w:rsid w:val="006A53E4"/>
    <w:rsid w:val="006C3313"/>
    <w:rsid w:val="006E45BF"/>
    <w:rsid w:val="006F159E"/>
    <w:rsid w:val="006F1CC8"/>
    <w:rsid w:val="007161D9"/>
    <w:rsid w:val="007351B1"/>
    <w:rsid w:val="00745FEB"/>
    <w:rsid w:val="00747DFA"/>
    <w:rsid w:val="007549FD"/>
    <w:rsid w:val="00772D9A"/>
    <w:rsid w:val="007811AF"/>
    <w:rsid w:val="0079227B"/>
    <w:rsid w:val="00792697"/>
    <w:rsid w:val="007B7365"/>
    <w:rsid w:val="007C326E"/>
    <w:rsid w:val="007C3399"/>
    <w:rsid w:val="007C61DC"/>
    <w:rsid w:val="007D28F1"/>
    <w:rsid w:val="007D61FF"/>
    <w:rsid w:val="007E3E98"/>
    <w:rsid w:val="007F3060"/>
    <w:rsid w:val="008154CC"/>
    <w:rsid w:val="00824F0D"/>
    <w:rsid w:val="00842BC3"/>
    <w:rsid w:val="00845B51"/>
    <w:rsid w:val="0086201B"/>
    <w:rsid w:val="00896F1A"/>
    <w:rsid w:val="008A39E5"/>
    <w:rsid w:val="008D2933"/>
    <w:rsid w:val="008D4353"/>
    <w:rsid w:val="008D5528"/>
    <w:rsid w:val="00911B12"/>
    <w:rsid w:val="00922447"/>
    <w:rsid w:val="009322C5"/>
    <w:rsid w:val="00936B6A"/>
    <w:rsid w:val="00941AEB"/>
    <w:rsid w:val="00945D84"/>
    <w:rsid w:val="009504AC"/>
    <w:rsid w:val="00950E7E"/>
    <w:rsid w:val="00952EA3"/>
    <w:rsid w:val="009548BE"/>
    <w:rsid w:val="00961113"/>
    <w:rsid w:val="0097586F"/>
    <w:rsid w:val="00986F78"/>
    <w:rsid w:val="009A155E"/>
    <w:rsid w:val="009B0997"/>
    <w:rsid w:val="009B4F2A"/>
    <w:rsid w:val="009B6196"/>
    <w:rsid w:val="009D2085"/>
    <w:rsid w:val="009E292B"/>
    <w:rsid w:val="009F2259"/>
    <w:rsid w:val="009F2735"/>
    <w:rsid w:val="00A0644B"/>
    <w:rsid w:val="00A06D67"/>
    <w:rsid w:val="00A1557D"/>
    <w:rsid w:val="00A25055"/>
    <w:rsid w:val="00A337BB"/>
    <w:rsid w:val="00A633B2"/>
    <w:rsid w:val="00A64064"/>
    <w:rsid w:val="00A7602E"/>
    <w:rsid w:val="00A929E3"/>
    <w:rsid w:val="00AC41EF"/>
    <w:rsid w:val="00AD56FD"/>
    <w:rsid w:val="00AE074A"/>
    <w:rsid w:val="00AE1D1F"/>
    <w:rsid w:val="00AE6001"/>
    <w:rsid w:val="00AE7354"/>
    <w:rsid w:val="00B172DA"/>
    <w:rsid w:val="00B270F7"/>
    <w:rsid w:val="00B32158"/>
    <w:rsid w:val="00B433B7"/>
    <w:rsid w:val="00B555DC"/>
    <w:rsid w:val="00B61E75"/>
    <w:rsid w:val="00B90B6E"/>
    <w:rsid w:val="00B92312"/>
    <w:rsid w:val="00BA08B8"/>
    <w:rsid w:val="00BA7033"/>
    <w:rsid w:val="00BB6698"/>
    <w:rsid w:val="00BC0219"/>
    <w:rsid w:val="00BC42E0"/>
    <w:rsid w:val="00BC521C"/>
    <w:rsid w:val="00BD0BC2"/>
    <w:rsid w:val="00BD5A3A"/>
    <w:rsid w:val="00BE35D7"/>
    <w:rsid w:val="00BF443A"/>
    <w:rsid w:val="00C0391E"/>
    <w:rsid w:val="00C06B02"/>
    <w:rsid w:val="00C151C6"/>
    <w:rsid w:val="00C32D87"/>
    <w:rsid w:val="00C3490F"/>
    <w:rsid w:val="00C426CD"/>
    <w:rsid w:val="00C441D3"/>
    <w:rsid w:val="00C47151"/>
    <w:rsid w:val="00C6071E"/>
    <w:rsid w:val="00C718C4"/>
    <w:rsid w:val="00C74EB7"/>
    <w:rsid w:val="00C959EC"/>
    <w:rsid w:val="00CB1A8E"/>
    <w:rsid w:val="00CC2449"/>
    <w:rsid w:val="00CD0D1C"/>
    <w:rsid w:val="00CE0FD6"/>
    <w:rsid w:val="00CE1DCC"/>
    <w:rsid w:val="00CF1D0F"/>
    <w:rsid w:val="00D21896"/>
    <w:rsid w:val="00D2207F"/>
    <w:rsid w:val="00D23D6B"/>
    <w:rsid w:val="00D35750"/>
    <w:rsid w:val="00D72822"/>
    <w:rsid w:val="00D865D3"/>
    <w:rsid w:val="00D945EB"/>
    <w:rsid w:val="00D94745"/>
    <w:rsid w:val="00DC6789"/>
    <w:rsid w:val="00DC6E71"/>
    <w:rsid w:val="00DD5616"/>
    <w:rsid w:val="00DE7C03"/>
    <w:rsid w:val="00E00F21"/>
    <w:rsid w:val="00E065A5"/>
    <w:rsid w:val="00E1448C"/>
    <w:rsid w:val="00E21B69"/>
    <w:rsid w:val="00E3188B"/>
    <w:rsid w:val="00E3630A"/>
    <w:rsid w:val="00E36E8D"/>
    <w:rsid w:val="00E42BB0"/>
    <w:rsid w:val="00E44840"/>
    <w:rsid w:val="00E46925"/>
    <w:rsid w:val="00E833CB"/>
    <w:rsid w:val="00EC3516"/>
    <w:rsid w:val="00ED4B17"/>
    <w:rsid w:val="00EE4435"/>
    <w:rsid w:val="00EE5242"/>
    <w:rsid w:val="00EE70E6"/>
    <w:rsid w:val="00EF162D"/>
    <w:rsid w:val="00F0128D"/>
    <w:rsid w:val="00F03F56"/>
    <w:rsid w:val="00F20420"/>
    <w:rsid w:val="00F220A0"/>
    <w:rsid w:val="00F33310"/>
    <w:rsid w:val="00F35223"/>
    <w:rsid w:val="00F37827"/>
    <w:rsid w:val="00F4498C"/>
    <w:rsid w:val="00F51CC2"/>
    <w:rsid w:val="00F54ECB"/>
    <w:rsid w:val="00F57D87"/>
    <w:rsid w:val="00F60BA0"/>
    <w:rsid w:val="00F73C71"/>
    <w:rsid w:val="00F73E00"/>
    <w:rsid w:val="00F93D3D"/>
    <w:rsid w:val="00F97F67"/>
    <w:rsid w:val="00FC3E7F"/>
    <w:rsid w:val="00FC415C"/>
    <w:rsid w:val="00FC41C6"/>
    <w:rsid w:val="00FD1852"/>
    <w:rsid w:val="00FE7D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DD200"/>
  <w15:chartTrackingRefBased/>
  <w15:docId w15:val="{95018BB4-3ED7-4F70-8D5A-52197072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4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725CE"/>
    <w:pPr>
      <w:ind w:left="720"/>
      <w:contextualSpacing/>
    </w:pPr>
    <w:rPr>
      <w:rFonts w:ascii="Calibri" w:eastAsia="Calibri" w:hAnsi="Calibri" w:cs="Times New Roman"/>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725CE"/>
    <w:rPr>
      <w:rFonts w:ascii="Calibri" w:eastAsia="Calibri" w:hAnsi="Calibri" w:cs="Times New Roman"/>
      <w:lang w:val="en-GB"/>
    </w:rPr>
  </w:style>
  <w:style w:type="paragraph" w:customStyle="1" w:styleId="Pagedecouverture">
    <w:name w:val="Page de couverture"/>
    <w:basedOn w:val="Normal"/>
    <w:next w:val="Normal"/>
    <w:rsid w:val="006439DF"/>
    <w:pPr>
      <w:spacing w:after="0" w:line="240" w:lineRule="auto"/>
      <w:jc w:val="both"/>
    </w:pPr>
    <w:rPr>
      <w:rFonts w:ascii="Times New Roman" w:eastAsia="Calibri" w:hAnsi="Times New Roman" w:cs="Times New Roman"/>
      <w:sz w:val="24"/>
      <w:lang w:val="en-GB"/>
    </w:rPr>
  </w:style>
  <w:style w:type="paragraph" w:customStyle="1" w:styleId="ManualHeading1">
    <w:name w:val="Manual Heading 1"/>
    <w:basedOn w:val="Normal"/>
    <w:next w:val="Normal"/>
    <w:rsid w:val="005130CA"/>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szCs w:val="20"/>
      <w:lang w:val="en-GB" w:eastAsia="en-GB"/>
    </w:rPr>
  </w:style>
  <w:style w:type="character" w:styleId="PlaceholderText">
    <w:name w:val="Placeholder Text"/>
    <w:basedOn w:val="DefaultParagraphFont"/>
    <w:uiPriority w:val="99"/>
    <w:semiHidden/>
    <w:rsid w:val="008D4353"/>
    <w:rPr>
      <w:color w:val="808080"/>
    </w:rPr>
  </w:style>
  <w:style w:type="paragraph" w:styleId="Revision">
    <w:name w:val="Revision"/>
    <w:hidden/>
    <w:uiPriority w:val="99"/>
    <w:semiHidden/>
    <w:rsid w:val="00E3630A"/>
    <w:pPr>
      <w:spacing w:after="0" w:line="240" w:lineRule="auto"/>
    </w:pPr>
  </w:style>
  <w:style w:type="paragraph" w:customStyle="1" w:styleId="Default">
    <w:name w:val="Default"/>
    <w:rsid w:val="00CE1DC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24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3195</Words>
  <Characters>18217</Characters>
  <Application>Microsoft Office Word</Application>
  <DocSecurity>0</DocSecurity>
  <Lines>151</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Steluta Bulaceanu</cp:lastModifiedBy>
  <cp:revision>5</cp:revision>
  <cp:lastPrinted>2023-11-21T16:02:00Z</cp:lastPrinted>
  <dcterms:created xsi:type="dcterms:W3CDTF">2024-08-22T15:03:00Z</dcterms:created>
  <dcterms:modified xsi:type="dcterms:W3CDTF">2024-08-22T15:04:00Z</dcterms:modified>
  <cp:category/>
</cp:coreProperties>
</file>