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20811" w:type="dxa"/>
        <w:tblLook w:val="04A0" w:firstRow="1" w:lastRow="0" w:firstColumn="1" w:lastColumn="0" w:noHBand="0" w:noVBand="1"/>
      </w:tblPr>
      <w:tblGrid>
        <w:gridCol w:w="3128"/>
        <w:gridCol w:w="3233"/>
        <w:gridCol w:w="4833"/>
        <w:gridCol w:w="5244"/>
        <w:gridCol w:w="4373"/>
      </w:tblGrid>
      <w:tr w:rsidR="00D251BB" w:rsidRPr="002A447B" w14:paraId="7268AC00" w14:textId="77777777" w:rsidTr="002A447B">
        <w:trPr>
          <w:trHeight w:val="1542"/>
          <w:tblHeader/>
        </w:trPr>
        <w:tc>
          <w:tcPr>
            <w:tcW w:w="3128" w:type="dxa"/>
            <w:shd w:val="clear" w:color="auto" w:fill="E2EFD9" w:themeFill="accent6" w:themeFillTint="33"/>
            <w:vAlign w:val="center"/>
          </w:tcPr>
          <w:p w14:paraId="3D14B096" w14:textId="7786595B" w:rsidR="00D251BB" w:rsidRPr="002A447B" w:rsidRDefault="00D251BB" w:rsidP="002A447B">
            <w:pPr>
              <w:spacing w:before="60"/>
              <w:jc w:val="both"/>
              <w:rPr>
                <w:rFonts w:cstheme="minorHAnsi"/>
                <w:b/>
              </w:rPr>
            </w:pPr>
            <w:r w:rsidRPr="002A447B">
              <w:rPr>
                <w:rFonts w:cstheme="minorHAnsi"/>
                <w:b/>
              </w:rPr>
              <w:t>Alianța Globală pentru Boli Cronice (GACD)</w:t>
            </w:r>
          </w:p>
        </w:tc>
        <w:tc>
          <w:tcPr>
            <w:tcW w:w="3233" w:type="dxa"/>
            <w:shd w:val="clear" w:color="auto" w:fill="E2EFD9" w:themeFill="accent6" w:themeFillTint="33"/>
            <w:vAlign w:val="center"/>
          </w:tcPr>
          <w:p w14:paraId="5DC74B39" w14:textId="5691A320" w:rsidR="00D251BB" w:rsidRPr="002A447B" w:rsidRDefault="00A0497E" w:rsidP="002A447B">
            <w:pPr>
              <w:spacing w:before="60"/>
              <w:jc w:val="both"/>
              <w:rPr>
                <w:rFonts w:cstheme="minorHAnsi"/>
                <w:b/>
              </w:rPr>
            </w:pPr>
            <w:r>
              <w:rPr>
                <w:rFonts w:cstheme="minorHAnsi"/>
                <w:b/>
              </w:rPr>
              <w:t>PCIDIF</w:t>
            </w:r>
          </w:p>
        </w:tc>
        <w:tc>
          <w:tcPr>
            <w:tcW w:w="4833" w:type="dxa"/>
            <w:shd w:val="clear" w:color="auto" w:fill="E2EFD9" w:themeFill="accent6" w:themeFillTint="33"/>
            <w:vAlign w:val="center"/>
          </w:tcPr>
          <w:p w14:paraId="419DB6A7" w14:textId="090CB84E" w:rsidR="00D251BB" w:rsidRPr="002A447B" w:rsidRDefault="00DD71C8" w:rsidP="002A447B">
            <w:pPr>
              <w:spacing w:before="60"/>
              <w:jc w:val="both"/>
              <w:rPr>
                <w:rFonts w:cstheme="minorHAnsi"/>
                <w:b/>
              </w:rPr>
            </w:pPr>
            <w:r w:rsidRPr="002A447B">
              <w:rPr>
                <w:rFonts w:cstheme="minorHAnsi"/>
                <w:b/>
              </w:rPr>
              <w:t xml:space="preserve">Programul </w:t>
            </w:r>
            <w:r w:rsidR="002479E5" w:rsidRPr="002A447B">
              <w:rPr>
                <w:rFonts w:cstheme="minorHAnsi"/>
                <w:b/>
              </w:rPr>
              <w:t>Sănătate</w:t>
            </w:r>
            <w:r w:rsidRPr="002A447B">
              <w:rPr>
                <w:rFonts w:cstheme="minorHAnsi"/>
                <w:b/>
              </w:rPr>
              <w:t xml:space="preserve"> </w:t>
            </w:r>
          </w:p>
        </w:tc>
        <w:tc>
          <w:tcPr>
            <w:tcW w:w="5244" w:type="dxa"/>
            <w:shd w:val="clear" w:color="auto" w:fill="E2EFD9" w:themeFill="accent6" w:themeFillTint="33"/>
            <w:vAlign w:val="center"/>
          </w:tcPr>
          <w:p w14:paraId="5A75028D" w14:textId="77777777" w:rsidR="00D251BB" w:rsidRPr="002A447B" w:rsidRDefault="00D251BB" w:rsidP="002A447B">
            <w:pPr>
              <w:spacing w:before="60"/>
              <w:jc w:val="both"/>
              <w:rPr>
                <w:rFonts w:cstheme="minorHAnsi"/>
                <w:b/>
              </w:rPr>
            </w:pPr>
            <w:r w:rsidRPr="002A447B">
              <w:rPr>
                <w:rFonts w:cstheme="minorHAnsi"/>
                <w:b/>
              </w:rPr>
              <w:t>Programul-cadru Orizont Europa (HORIZON)</w:t>
            </w:r>
          </w:p>
          <w:p w14:paraId="108AAF18" w14:textId="1100C155" w:rsidR="00D251BB" w:rsidRPr="002A447B" w:rsidRDefault="00D251BB" w:rsidP="002A447B">
            <w:pPr>
              <w:spacing w:before="60"/>
              <w:jc w:val="both"/>
              <w:rPr>
                <w:rFonts w:cstheme="minorHAnsi"/>
              </w:rPr>
            </w:pPr>
            <w:r w:rsidRPr="002A447B">
              <w:rPr>
                <w:rFonts w:cstheme="minorHAnsi"/>
                <w:b/>
              </w:rPr>
              <w:t>Agenția Executivă Europeană pentru Sănătate și Digital (</w:t>
            </w:r>
            <w:proofErr w:type="spellStart"/>
            <w:r w:rsidRPr="002A447B">
              <w:rPr>
                <w:rFonts w:cstheme="minorHAnsi"/>
                <w:b/>
              </w:rPr>
              <w:t>HaDEA</w:t>
            </w:r>
            <w:proofErr w:type="spellEnd"/>
            <w:r w:rsidRPr="002A447B">
              <w:rPr>
                <w:rFonts w:cstheme="minorHAnsi"/>
                <w:b/>
              </w:rPr>
              <w:t>)</w:t>
            </w:r>
            <w:r w:rsidR="002A447B" w:rsidRPr="002A447B">
              <w:rPr>
                <w:rFonts w:cstheme="minorHAnsi"/>
                <w:b/>
              </w:rPr>
              <w:t xml:space="preserve"> </w:t>
            </w:r>
            <w:r w:rsidRPr="002A447B">
              <w:rPr>
                <w:rFonts w:cstheme="minorHAnsi"/>
                <w:i/>
              </w:rPr>
              <w:t>"</w:t>
            </w:r>
            <w:proofErr w:type="spellStart"/>
            <w:r w:rsidRPr="002A447B">
              <w:rPr>
                <w:rFonts w:cstheme="minorHAnsi"/>
                <w:i/>
              </w:rPr>
              <w:t>HaDEA</w:t>
            </w:r>
            <w:proofErr w:type="spellEnd"/>
            <w:r w:rsidRPr="002A447B">
              <w:rPr>
                <w:rFonts w:cstheme="minorHAnsi"/>
                <w:i/>
              </w:rPr>
              <w:t xml:space="preserve"> implementează părți din</w:t>
            </w:r>
            <w:r w:rsidR="002479E5" w:rsidRPr="002A447B">
              <w:rPr>
                <w:rFonts w:cstheme="minorHAnsi"/>
                <w:i/>
              </w:rPr>
              <w:t xml:space="preserve"> </w:t>
            </w:r>
            <w:r w:rsidRPr="002A447B">
              <w:rPr>
                <w:rFonts w:cstheme="minorHAnsi"/>
                <w:i/>
              </w:rPr>
              <w:t xml:space="preserve">Clusterele </w:t>
            </w:r>
            <w:r w:rsidR="00014EAB" w:rsidRPr="002A447B">
              <w:rPr>
                <w:rFonts w:cstheme="minorHAnsi"/>
                <w:i/>
              </w:rPr>
              <w:t>Orizont</w:t>
            </w:r>
            <w:r w:rsidRPr="002A447B">
              <w:rPr>
                <w:rFonts w:cstheme="minorHAnsi"/>
                <w:i/>
              </w:rPr>
              <w:t xml:space="preserve"> Europ</w:t>
            </w:r>
            <w:r w:rsidR="00380554" w:rsidRPr="002A447B">
              <w:rPr>
                <w:rFonts w:cstheme="minorHAnsi"/>
                <w:i/>
              </w:rPr>
              <w:t>a</w:t>
            </w:r>
            <w:r w:rsidRPr="002A447B">
              <w:rPr>
                <w:rFonts w:cstheme="minorHAnsi"/>
                <w:i/>
              </w:rPr>
              <w:t xml:space="preserve"> 1 (Sănătate)"</w:t>
            </w:r>
          </w:p>
        </w:tc>
        <w:tc>
          <w:tcPr>
            <w:tcW w:w="4373" w:type="dxa"/>
            <w:shd w:val="clear" w:color="auto" w:fill="E2EFD9" w:themeFill="accent6" w:themeFillTint="33"/>
            <w:vAlign w:val="center"/>
          </w:tcPr>
          <w:p w14:paraId="336BD2E8" w14:textId="36BCAD75" w:rsidR="00D251BB" w:rsidRPr="002A447B" w:rsidRDefault="00342AC4" w:rsidP="002A447B">
            <w:pPr>
              <w:spacing w:before="60"/>
              <w:jc w:val="both"/>
              <w:rPr>
                <w:rFonts w:cstheme="minorHAnsi"/>
                <w:b/>
              </w:rPr>
            </w:pPr>
            <w:r w:rsidRPr="002A447B">
              <w:rPr>
                <w:rFonts w:cstheme="minorHAnsi"/>
                <w:b/>
              </w:rPr>
              <w:t>PNRR</w:t>
            </w:r>
          </w:p>
          <w:p w14:paraId="4A86E80C" w14:textId="77777777" w:rsidR="00D251BB" w:rsidRPr="002A447B" w:rsidRDefault="00D251BB" w:rsidP="002A447B">
            <w:pPr>
              <w:spacing w:before="60"/>
              <w:jc w:val="both"/>
              <w:rPr>
                <w:rFonts w:cstheme="minorHAnsi"/>
                <w:i/>
              </w:rPr>
            </w:pPr>
          </w:p>
          <w:p w14:paraId="3480DF10" w14:textId="77C0D555" w:rsidR="00D251BB" w:rsidRPr="002A447B" w:rsidRDefault="00D251BB" w:rsidP="002A447B">
            <w:pPr>
              <w:spacing w:before="60"/>
              <w:jc w:val="both"/>
              <w:rPr>
                <w:rFonts w:cstheme="minorHAnsi"/>
                <w:b/>
              </w:rPr>
            </w:pPr>
            <w:r w:rsidRPr="002A447B">
              <w:rPr>
                <w:rFonts w:cstheme="minorHAnsi"/>
                <w:b/>
              </w:rPr>
              <w:t xml:space="preserve">Componenta C9. </w:t>
            </w:r>
            <w:r w:rsidRPr="002A447B">
              <w:rPr>
                <w:rFonts w:cstheme="minorHAnsi"/>
              </w:rPr>
              <w:t xml:space="preserve"> </w:t>
            </w:r>
            <w:r w:rsidR="002A447B" w:rsidRPr="002A447B">
              <w:rPr>
                <w:rFonts w:cstheme="minorHAnsi"/>
                <w:b/>
              </w:rPr>
              <w:t>Sprijin pentru afaceri, cercetare, dezvoltare și</w:t>
            </w:r>
          </w:p>
          <w:p w14:paraId="4EFA4653" w14:textId="39A20FF7" w:rsidR="00D251BB" w:rsidRPr="002A447B" w:rsidRDefault="002A447B" w:rsidP="002A447B">
            <w:pPr>
              <w:spacing w:before="60"/>
              <w:jc w:val="both"/>
              <w:rPr>
                <w:rFonts w:cstheme="minorHAnsi"/>
                <w:b/>
              </w:rPr>
            </w:pPr>
            <w:r w:rsidRPr="002A447B">
              <w:rPr>
                <w:rFonts w:cstheme="minorHAnsi"/>
                <w:b/>
              </w:rPr>
              <w:t>inovație</w:t>
            </w:r>
          </w:p>
        </w:tc>
      </w:tr>
      <w:tr w:rsidR="00D251BB" w:rsidRPr="002A447B" w14:paraId="43A742FC" w14:textId="77777777" w:rsidTr="007E0654">
        <w:trPr>
          <w:trHeight w:val="8536"/>
        </w:trPr>
        <w:tc>
          <w:tcPr>
            <w:tcW w:w="3128" w:type="dxa"/>
          </w:tcPr>
          <w:p w14:paraId="349B71A3" w14:textId="64A5BE7D" w:rsidR="00D251BB" w:rsidRPr="002A447B" w:rsidRDefault="00D251BB" w:rsidP="002A447B">
            <w:pPr>
              <w:spacing w:before="60"/>
              <w:jc w:val="both"/>
              <w:rPr>
                <w:rFonts w:cstheme="minorHAnsi"/>
                <w:b/>
                <w:i/>
              </w:rPr>
            </w:pPr>
            <w:r w:rsidRPr="002A447B">
              <w:rPr>
                <w:rFonts w:cstheme="minorHAnsi"/>
                <w:b/>
                <w:i/>
              </w:rPr>
              <w:t>Apel de finanțare pentru prevenirea</w:t>
            </w:r>
            <w:r w:rsidR="00380554" w:rsidRPr="002A447B">
              <w:rPr>
                <w:rFonts w:cstheme="minorHAnsi"/>
                <w:b/>
                <w:i/>
              </w:rPr>
              <w:t xml:space="preserve"> </w:t>
            </w:r>
            <w:r w:rsidRPr="002A447B">
              <w:rPr>
                <w:rFonts w:cstheme="minorHAnsi"/>
                <w:b/>
                <w:i/>
              </w:rPr>
              <w:t>primară și secundară a cancerului</w:t>
            </w:r>
          </w:p>
          <w:p w14:paraId="60A4E2DC" w14:textId="5D39FAB4" w:rsidR="00D251BB" w:rsidRPr="002A447B" w:rsidRDefault="00D251BB" w:rsidP="002A447B">
            <w:pPr>
              <w:spacing w:before="60"/>
              <w:jc w:val="both"/>
              <w:rPr>
                <w:rFonts w:cstheme="minorHAnsi"/>
              </w:rPr>
            </w:pPr>
            <w:r w:rsidRPr="002A447B">
              <w:rPr>
                <w:rFonts w:cstheme="minorHAnsi"/>
              </w:rPr>
              <w:t>Cercetarea</w:t>
            </w:r>
            <w:r w:rsidR="002479E5" w:rsidRPr="002A447B">
              <w:rPr>
                <w:rFonts w:cstheme="minorHAnsi"/>
              </w:rPr>
              <w:t xml:space="preserve"> </w:t>
            </w:r>
            <w:r w:rsidRPr="002A447B">
              <w:rPr>
                <w:rFonts w:cstheme="minorHAnsi"/>
              </w:rPr>
              <w:t xml:space="preserve">electronică finanțată în cadrul </w:t>
            </w:r>
            <w:r w:rsidR="00283AA9" w:rsidRPr="002A447B">
              <w:rPr>
                <w:rFonts w:cstheme="minorHAnsi"/>
              </w:rPr>
              <w:t>Alianței Globale pentru Boli Cronice</w:t>
            </w:r>
            <w:r w:rsidR="00F535C1" w:rsidRPr="002A447B">
              <w:rPr>
                <w:rFonts w:cstheme="minorHAnsi"/>
              </w:rPr>
              <w:t xml:space="preserve"> (GACD) </w:t>
            </w:r>
            <w:r w:rsidRPr="002A447B">
              <w:rPr>
                <w:rFonts w:cstheme="minorHAnsi"/>
              </w:rPr>
              <w:t xml:space="preserve">implică schimbul periodic de rezultate ale cercetării și de informații între proiectele participante, prin intermediul unor grupuri de lucru între proiecte și al unor reuniuni comune anuale. Ori de câte ori este posibil, proiectele ar trebui să își armonizeze și să își standardizeze colectarea datelor și să facă schimb de date respective. Solicitanții trebuie să </w:t>
            </w:r>
            <w:proofErr w:type="spellStart"/>
            <w:r w:rsidRPr="002A447B">
              <w:rPr>
                <w:rFonts w:cstheme="minorHAnsi"/>
              </w:rPr>
              <w:t>bugete</w:t>
            </w:r>
            <w:r w:rsidR="00380554" w:rsidRPr="002A447B">
              <w:rPr>
                <w:rFonts w:cstheme="minorHAnsi"/>
              </w:rPr>
              <w:t>ze</w:t>
            </w:r>
            <w:proofErr w:type="spellEnd"/>
            <w:r w:rsidRPr="002A447B">
              <w:rPr>
                <w:rFonts w:cstheme="minorHAnsi"/>
              </w:rPr>
              <w:t xml:space="preserve"> costurile anuale ale participării a doi membri ai echipei la o reuniune științifică anuală (locația să varieze anual). Solicitanții trebuie să își </w:t>
            </w:r>
            <w:proofErr w:type="spellStart"/>
            <w:r w:rsidRPr="002A447B">
              <w:rPr>
                <w:rFonts w:cstheme="minorHAnsi"/>
              </w:rPr>
              <w:t>bugeteze</w:t>
            </w:r>
            <w:proofErr w:type="spellEnd"/>
            <w:r w:rsidRPr="002A447B">
              <w:rPr>
                <w:rFonts w:cstheme="minorHAnsi"/>
              </w:rPr>
              <w:t xml:space="preserve"> implicarea în grupurile de lucru ale </w:t>
            </w:r>
            <w:r w:rsidR="00953803" w:rsidRPr="002A447B">
              <w:rPr>
                <w:rFonts w:cstheme="minorHAnsi"/>
              </w:rPr>
              <w:t xml:space="preserve">Alianței Globale pentru Boli Cronice (GACD) </w:t>
            </w:r>
            <w:r w:rsidRPr="002A447B">
              <w:rPr>
                <w:rFonts w:cstheme="minorHAnsi"/>
              </w:rPr>
              <w:t>și în alte activități la nivelul CCG, dincolo de ciclul de viață al proiectului lor de cercetare.</w:t>
            </w:r>
            <w:r w:rsidRPr="002A447B">
              <w:rPr>
                <w:rFonts w:cstheme="minorHAnsi"/>
              </w:rPr>
              <w:cr/>
            </w:r>
          </w:p>
          <w:p w14:paraId="309FEFCF" w14:textId="77777777" w:rsidR="00D251BB" w:rsidRPr="002A447B" w:rsidRDefault="00D251BB" w:rsidP="002A447B">
            <w:pPr>
              <w:spacing w:before="60"/>
              <w:jc w:val="both"/>
              <w:rPr>
                <w:rFonts w:cstheme="minorHAnsi"/>
                <w:u w:val="single"/>
              </w:rPr>
            </w:pPr>
            <w:r w:rsidRPr="002A447B">
              <w:rPr>
                <w:rFonts w:cstheme="minorHAnsi"/>
                <w:u w:val="single"/>
              </w:rPr>
              <w:t>Impactul preconizat (unul dintre sau combinații de)</w:t>
            </w:r>
          </w:p>
          <w:p w14:paraId="02BFA288" w14:textId="77777777" w:rsidR="00D251BB" w:rsidRPr="002A447B" w:rsidRDefault="00D251BB" w:rsidP="002A447B">
            <w:pPr>
              <w:pStyle w:val="ListParagraph"/>
              <w:numPr>
                <w:ilvl w:val="0"/>
                <w:numId w:val="4"/>
              </w:numPr>
              <w:spacing w:before="60"/>
              <w:contextualSpacing w:val="0"/>
              <w:jc w:val="both"/>
              <w:rPr>
                <w:rFonts w:cstheme="minorHAnsi"/>
              </w:rPr>
            </w:pPr>
            <w:r w:rsidRPr="002A447B">
              <w:rPr>
                <w:rFonts w:cstheme="minorHAnsi"/>
              </w:rPr>
              <w:t>promovarea politicilor locale, regionale sau naționale de prevenire a cancerului și/sau de diagnosticare timpurie a cancerului, atenuând povara globală a cancerului;</w:t>
            </w:r>
          </w:p>
          <w:p w14:paraId="0CCAF614" w14:textId="77777777" w:rsidR="00D251BB" w:rsidRPr="002A447B" w:rsidRDefault="00D251BB" w:rsidP="002A447B">
            <w:pPr>
              <w:pStyle w:val="ListParagraph"/>
              <w:numPr>
                <w:ilvl w:val="0"/>
                <w:numId w:val="4"/>
              </w:numPr>
              <w:spacing w:before="60"/>
              <w:contextualSpacing w:val="0"/>
              <w:jc w:val="both"/>
              <w:rPr>
                <w:rFonts w:cstheme="minorHAnsi"/>
              </w:rPr>
            </w:pPr>
            <w:r w:rsidRPr="002A447B">
              <w:rPr>
                <w:rFonts w:cstheme="minorHAnsi"/>
              </w:rPr>
              <w:t>Îmbunătățirea accesibilității și adaptarea la setările locale de prevenire și/sau diagnosticare timpurie;</w:t>
            </w:r>
          </w:p>
          <w:p w14:paraId="614F195C" w14:textId="77777777" w:rsidR="00D251BB" w:rsidRPr="002A447B" w:rsidRDefault="00D251BB" w:rsidP="002A447B">
            <w:pPr>
              <w:pStyle w:val="ListParagraph"/>
              <w:numPr>
                <w:ilvl w:val="0"/>
                <w:numId w:val="4"/>
              </w:numPr>
              <w:spacing w:before="60"/>
              <w:contextualSpacing w:val="0"/>
              <w:jc w:val="both"/>
              <w:rPr>
                <w:rFonts w:cstheme="minorHAnsi"/>
              </w:rPr>
            </w:pPr>
            <w:r w:rsidRPr="002A447B">
              <w:rPr>
                <w:rFonts w:cstheme="minorHAnsi"/>
              </w:rPr>
              <w:t xml:space="preserve">Stabilirea eficacității contextuale a intervenției </w:t>
            </w:r>
            <w:r w:rsidRPr="002A447B">
              <w:rPr>
                <w:rFonts w:cstheme="minorHAnsi"/>
              </w:rPr>
              <w:lastRenderedPageBreak/>
              <w:t>(intervențiilor) împotriva cancerului, inclusiv la nivelul sistemelor de sănătate;</w:t>
            </w:r>
          </w:p>
          <w:p w14:paraId="328CC2D1" w14:textId="77777777" w:rsidR="00D251BB" w:rsidRPr="002A447B" w:rsidRDefault="00D251BB" w:rsidP="002A447B">
            <w:pPr>
              <w:pStyle w:val="ListParagraph"/>
              <w:numPr>
                <w:ilvl w:val="0"/>
                <w:numId w:val="4"/>
              </w:numPr>
              <w:spacing w:before="60"/>
              <w:contextualSpacing w:val="0"/>
              <w:jc w:val="both"/>
              <w:rPr>
                <w:rFonts w:cstheme="minorHAnsi"/>
              </w:rPr>
            </w:pPr>
            <w:r w:rsidRPr="002A447B">
              <w:rPr>
                <w:rFonts w:cstheme="minorHAnsi"/>
              </w:rPr>
              <w:t>să furnizeze dovezi și recomandări programelor și politicilor naționale axate pe prevenire, screening și/sau diagnosticare timpurie;</w:t>
            </w:r>
          </w:p>
          <w:p w14:paraId="5D1AA5C3" w14:textId="77777777" w:rsidR="00D251BB" w:rsidRPr="002A447B" w:rsidRDefault="00D251BB" w:rsidP="002A447B">
            <w:pPr>
              <w:pStyle w:val="ListParagraph"/>
              <w:numPr>
                <w:ilvl w:val="0"/>
                <w:numId w:val="4"/>
              </w:numPr>
              <w:spacing w:before="60"/>
              <w:contextualSpacing w:val="0"/>
              <w:jc w:val="both"/>
              <w:rPr>
                <w:rFonts w:cstheme="minorHAnsi"/>
              </w:rPr>
            </w:pPr>
            <w:r w:rsidRPr="002A447B">
              <w:rPr>
                <w:rFonts w:cstheme="minorHAnsi"/>
              </w:rPr>
              <w:t>Informarea furnizorilor de servicii de sănătate, a factorilor de decizie politică și a factorilor de decizie cu privire la intensificarea eficace a intervențiilor în domeniul cancerului la nivel local, regional și național, inclusiv aspecte legate de accesibilitatea prețurilor pentru utilizatori și furnizorii de servicii medicale;</w:t>
            </w:r>
          </w:p>
          <w:p w14:paraId="625621E0" w14:textId="77777777" w:rsidR="00D251BB" w:rsidRPr="002A447B" w:rsidRDefault="00D251BB" w:rsidP="002A447B">
            <w:pPr>
              <w:pStyle w:val="ListParagraph"/>
              <w:numPr>
                <w:ilvl w:val="0"/>
                <w:numId w:val="4"/>
              </w:numPr>
              <w:spacing w:before="60"/>
              <w:contextualSpacing w:val="0"/>
              <w:jc w:val="both"/>
              <w:rPr>
                <w:rFonts w:cstheme="minorHAnsi"/>
              </w:rPr>
            </w:pPr>
            <w:r w:rsidRPr="002A447B">
              <w:rPr>
                <w:rFonts w:cstheme="minorHAnsi"/>
              </w:rPr>
              <w:t>reducerea inegalităților și a inechităților în materie de sănătate, inclusiv luarea în considerare în mod corespunzător a aspectelor socioeconomice, de gen și de vârstă, dacă este cazul, în prevenirea și/sau diagnosticarea precoce a cancerului, atât la nivel local, cât și la nivel mondial;</w:t>
            </w:r>
          </w:p>
          <w:p w14:paraId="1D5E67C4" w14:textId="77777777" w:rsidR="00D251BB" w:rsidRPr="002A447B" w:rsidRDefault="00D251BB" w:rsidP="002A447B">
            <w:pPr>
              <w:pStyle w:val="ListParagraph"/>
              <w:numPr>
                <w:ilvl w:val="0"/>
                <w:numId w:val="4"/>
              </w:numPr>
              <w:spacing w:before="60"/>
              <w:contextualSpacing w:val="0"/>
              <w:jc w:val="both"/>
              <w:rPr>
                <w:rFonts w:cstheme="minorHAnsi"/>
              </w:rPr>
            </w:pPr>
            <w:r w:rsidRPr="002A447B">
              <w:rPr>
                <w:rFonts w:cstheme="minorHAnsi"/>
              </w:rPr>
              <w:t>maximizarea utilizării programelor și platformelor relevante existente (de exemplu, platforme de cercetare, date și de livrare);</w:t>
            </w:r>
          </w:p>
          <w:p w14:paraId="49BF986E" w14:textId="77777777" w:rsidR="00D251BB" w:rsidRPr="002A447B" w:rsidRDefault="00D251BB" w:rsidP="002A447B">
            <w:pPr>
              <w:spacing w:before="60"/>
              <w:jc w:val="both"/>
              <w:rPr>
                <w:rFonts w:cstheme="minorHAnsi"/>
              </w:rPr>
            </w:pPr>
          </w:p>
        </w:tc>
        <w:tc>
          <w:tcPr>
            <w:tcW w:w="3233" w:type="dxa"/>
          </w:tcPr>
          <w:p w14:paraId="56477FB6" w14:textId="44A6D221" w:rsidR="00D251BB" w:rsidRPr="002A447B" w:rsidRDefault="00A0497E" w:rsidP="002A447B">
            <w:pPr>
              <w:spacing w:before="60"/>
              <w:jc w:val="both"/>
              <w:rPr>
                <w:rFonts w:cstheme="minorHAnsi"/>
              </w:rPr>
            </w:pPr>
            <w:r>
              <w:rPr>
                <w:rFonts w:cstheme="minorHAnsi"/>
              </w:rPr>
              <w:lastRenderedPageBreak/>
              <w:t>PCIDIF</w:t>
            </w:r>
            <w:r w:rsidR="00D251BB" w:rsidRPr="002A447B">
              <w:rPr>
                <w:rFonts w:cstheme="minorHAnsi"/>
              </w:rPr>
              <w:t xml:space="preserve"> și PNRR: atragerea de cercetători străini - prin PNRR se vor sprijini acțiuni pentru formare a cercetătorilor și crearea de nuclee pentru cercetarea fundamentală, în timp ce prin </w:t>
            </w:r>
            <w:r>
              <w:rPr>
                <w:rFonts w:cstheme="minorHAnsi"/>
              </w:rPr>
              <w:t>PCIDIF</w:t>
            </w:r>
            <w:r w:rsidR="00D251BB" w:rsidRPr="002A447B">
              <w:rPr>
                <w:rFonts w:cstheme="minorHAnsi"/>
              </w:rPr>
              <w:t xml:space="preserve"> sunt susținute acțiuni pentru crearea de nuclee de competență pentru cercetare aplicată</w:t>
            </w:r>
            <w:r w:rsidR="00953803" w:rsidRPr="002A447B">
              <w:rPr>
                <w:rFonts w:cstheme="minorHAnsi"/>
              </w:rPr>
              <w:t xml:space="preserve">, </w:t>
            </w:r>
            <w:r w:rsidR="00D251BB" w:rsidRPr="002A447B">
              <w:rPr>
                <w:rFonts w:cstheme="minorHAnsi"/>
              </w:rPr>
              <w:t>dezvoltare experimentală și inovare</w:t>
            </w:r>
          </w:p>
          <w:p w14:paraId="0FFB5B76" w14:textId="77777777" w:rsidR="00D251BB" w:rsidRPr="002A447B" w:rsidRDefault="00D251BB" w:rsidP="002A447B">
            <w:pPr>
              <w:spacing w:before="60"/>
              <w:jc w:val="both"/>
              <w:rPr>
                <w:rFonts w:cstheme="minorHAnsi"/>
              </w:rPr>
            </w:pPr>
          </w:p>
          <w:p w14:paraId="38F07863" w14:textId="5026B614" w:rsidR="00D251BB" w:rsidRPr="002A447B" w:rsidRDefault="00D251BB" w:rsidP="002A447B">
            <w:pPr>
              <w:spacing w:before="60"/>
              <w:jc w:val="both"/>
              <w:rPr>
                <w:rFonts w:cstheme="minorHAnsi"/>
                <w:b/>
                <w:bCs/>
              </w:rPr>
            </w:pPr>
            <w:r w:rsidRPr="002A447B">
              <w:rPr>
                <w:rFonts w:cstheme="minorHAnsi"/>
                <w:b/>
                <w:bCs/>
              </w:rPr>
              <w:t xml:space="preserve">Prin </w:t>
            </w:r>
            <w:r w:rsidR="00A0497E">
              <w:rPr>
                <w:rFonts w:cstheme="minorHAnsi"/>
                <w:b/>
                <w:bCs/>
              </w:rPr>
              <w:t>PCIDIF</w:t>
            </w:r>
            <w:r w:rsidRPr="002A447B">
              <w:rPr>
                <w:rFonts w:cstheme="minorHAnsi"/>
                <w:b/>
                <w:bCs/>
              </w:rPr>
              <w:t xml:space="preserve"> vor fi finanțate intervenții în domeniul sănătății (subdomeniile identificate prin SNCISI 2021-2027) având ca beneficiar principal mediul privat (P2) complementar cu măsurile susținute prin POS 2021-2027 în domeniul CDI în sănătate.</w:t>
            </w:r>
          </w:p>
          <w:p w14:paraId="7C47427B" w14:textId="77777777" w:rsidR="00D251BB" w:rsidRPr="002A447B" w:rsidRDefault="00D251BB" w:rsidP="002A447B">
            <w:pPr>
              <w:spacing w:before="60"/>
              <w:jc w:val="both"/>
              <w:rPr>
                <w:rFonts w:cstheme="minorHAnsi"/>
              </w:rPr>
            </w:pPr>
          </w:p>
          <w:p w14:paraId="54CE64B0" w14:textId="1821A918" w:rsidR="00D251BB" w:rsidRPr="002A447B" w:rsidRDefault="00A0497E" w:rsidP="002A447B">
            <w:pPr>
              <w:spacing w:before="60"/>
              <w:jc w:val="both"/>
              <w:rPr>
                <w:rFonts w:cstheme="minorHAnsi"/>
              </w:rPr>
            </w:pPr>
            <w:r>
              <w:rPr>
                <w:rFonts w:cstheme="minorHAnsi"/>
              </w:rPr>
              <w:t>PCIDIF</w:t>
            </w:r>
            <w:r w:rsidR="00D251BB" w:rsidRPr="002A447B">
              <w:rPr>
                <w:rFonts w:cstheme="minorHAnsi"/>
              </w:rPr>
              <w:t xml:space="preserve"> este in sinergie cu Programul Orizont Europa care </w:t>
            </w:r>
            <w:r w:rsidR="00283AA9" w:rsidRPr="002A447B">
              <w:rPr>
                <w:rFonts w:cstheme="minorHAnsi"/>
              </w:rPr>
              <w:t>vizează</w:t>
            </w:r>
            <w:r w:rsidR="00D251BB" w:rsidRPr="002A447B">
              <w:rPr>
                <w:rFonts w:cstheme="minorHAnsi"/>
              </w:rPr>
              <w:t xml:space="preserve"> consolidarea științei și tehnologiei în UE prin investiții sporite în oameni cu înaltă calificare și cercetare de ultimă oră, promovarea competitivității industriale a UE și a performanței sale în materie de inovare, precum si realizarea priorităților strategice ale UE.</w:t>
            </w:r>
          </w:p>
        </w:tc>
        <w:tc>
          <w:tcPr>
            <w:tcW w:w="4833" w:type="dxa"/>
          </w:tcPr>
          <w:p w14:paraId="5F75D573" w14:textId="77777777" w:rsidR="00A0497E" w:rsidRDefault="00A0497E" w:rsidP="00A0497E">
            <w:pPr>
              <w:spacing w:before="100"/>
              <w:rPr>
                <w:color w:val="000000"/>
              </w:rPr>
            </w:pPr>
            <w:r>
              <w:rPr>
                <w:b/>
                <w:bCs/>
                <w:color w:val="000000"/>
              </w:rPr>
              <w:t xml:space="preserve">Cercetare în domeniul bolilor netransmisibile (ex. </w:t>
            </w:r>
            <w:r>
              <w:rPr>
                <w:color w:val="000000"/>
              </w:rPr>
              <w:t>dezvoltarea de soluții de cercetare pentru tratarea cancerelor</w:t>
            </w:r>
            <w:r>
              <w:rPr>
                <w:b/>
                <w:bCs/>
                <w:color w:val="000000"/>
              </w:rPr>
              <w:t>)</w:t>
            </w:r>
            <w:r>
              <w:rPr>
                <w:color w:val="000000"/>
              </w:rPr>
              <w:t xml:space="preserve"> –OIS. Exemple de tipurile de acțiuni eligibile:</w:t>
            </w:r>
          </w:p>
          <w:p w14:paraId="468A8C1F" w14:textId="77777777" w:rsidR="00A0497E" w:rsidRDefault="00A0497E" w:rsidP="00A0497E">
            <w:pPr>
              <w:numPr>
                <w:ilvl w:val="0"/>
                <w:numId w:val="12"/>
              </w:numPr>
              <w:spacing w:before="100"/>
              <w:rPr>
                <w:color w:val="000000"/>
              </w:rPr>
            </w:pPr>
            <w:r>
              <w:rPr>
                <w:color w:val="000000"/>
              </w:rPr>
              <w:t xml:space="preserve">dezvoltarea unui aranjament experimental demonstrativ, complet bazat pe laseri de mare putere și fascicul gamma de mare intensitate pentru cercetări privind producerea de noi </w:t>
            </w:r>
            <w:proofErr w:type="spellStart"/>
            <w:r>
              <w:rPr>
                <w:color w:val="000000"/>
              </w:rPr>
              <w:t>radiofarmaceutice</w:t>
            </w:r>
            <w:proofErr w:type="spellEnd"/>
          </w:p>
          <w:p w14:paraId="4C2E57F4" w14:textId="77777777" w:rsidR="00A0497E" w:rsidRDefault="00A0497E" w:rsidP="00A0497E">
            <w:pPr>
              <w:numPr>
                <w:ilvl w:val="0"/>
                <w:numId w:val="12"/>
              </w:numPr>
              <w:spacing w:before="100"/>
              <w:rPr>
                <w:color w:val="000000"/>
              </w:rPr>
            </w:pPr>
            <w:r>
              <w:rPr>
                <w:color w:val="000000"/>
              </w:rPr>
              <w:t xml:space="preserve">dezvoltarea unui aranjament experimental demonstrativ pentru cercetări privind noi proceduri de </w:t>
            </w:r>
            <w:proofErr w:type="spellStart"/>
            <w:r>
              <w:rPr>
                <w:color w:val="000000"/>
              </w:rPr>
              <w:t>protonoterapie</w:t>
            </w:r>
            <w:proofErr w:type="spellEnd"/>
            <w:r>
              <w:rPr>
                <w:color w:val="000000"/>
              </w:rPr>
              <w:t xml:space="preserve">/ </w:t>
            </w:r>
            <w:proofErr w:type="spellStart"/>
            <w:r>
              <w:rPr>
                <w:color w:val="000000"/>
              </w:rPr>
              <w:t>hadronoterapie</w:t>
            </w:r>
            <w:proofErr w:type="spellEnd"/>
          </w:p>
          <w:p w14:paraId="28F10B8D" w14:textId="77777777" w:rsidR="00A0497E" w:rsidRDefault="00A0497E" w:rsidP="00A0497E">
            <w:pPr>
              <w:numPr>
                <w:ilvl w:val="0"/>
                <w:numId w:val="12"/>
              </w:numPr>
              <w:spacing w:before="100"/>
              <w:rPr>
                <w:color w:val="000000"/>
              </w:rPr>
            </w:pPr>
            <w:r>
              <w:rPr>
                <w:color w:val="000000"/>
              </w:rPr>
              <w:t>pilotarea/ testarea soluțiilor de cercetare</w:t>
            </w:r>
          </w:p>
          <w:p w14:paraId="66FEF0AB" w14:textId="77777777" w:rsidR="000838A4" w:rsidRPr="002A447B" w:rsidRDefault="000838A4" w:rsidP="002A447B">
            <w:pPr>
              <w:spacing w:before="60"/>
              <w:jc w:val="both"/>
              <w:rPr>
                <w:rFonts w:cstheme="minorHAnsi"/>
              </w:rPr>
            </w:pPr>
          </w:p>
        </w:tc>
        <w:tc>
          <w:tcPr>
            <w:tcW w:w="5244" w:type="dxa"/>
          </w:tcPr>
          <w:p w14:paraId="5D63C17C" w14:textId="77777777" w:rsidR="003B3DAF" w:rsidRPr="006F67BA" w:rsidRDefault="003B3DAF" w:rsidP="002A447B">
            <w:pPr>
              <w:spacing w:before="60"/>
              <w:jc w:val="both"/>
              <w:rPr>
                <w:rFonts w:cstheme="minorHAnsi"/>
                <w:b/>
                <w:bCs/>
              </w:rPr>
            </w:pPr>
            <w:r w:rsidRPr="006F67BA">
              <w:rPr>
                <w:rFonts w:cstheme="minorHAnsi"/>
                <w:b/>
                <w:bCs/>
              </w:rPr>
              <w:t>Obiectivul specific 2: Prevenirea, inclusiv depistarea și depistarea timpurie (prevenirea a ceea ce poate fi prevenit)</w:t>
            </w:r>
          </w:p>
          <w:p w14:paraId="1C777EB1" w14:textId="3D3B7A6D" w:rsidR="003B3DAF" w:rsidRDefault="003B3DAF" w:rsidP="002A447B">
            <w:pPr>
              <w:spacing w:before="60"/>
              <w:jc w:val="both"/>
              <w:rPr>
                <w:rFonts w:cstheme="minorHAnsi"/>
              </w:rPr>
            </w:pPr>
            <w:r w:rsidRPr="002A447B">
              <w:rPr>
                <w:rFonts w:cstheme="minorHAnsi"/>
              </w:rPr>
              <w:t xml:space="preserve">2.2.2 </w:t>
            </w:r>
            <w:proofErr w:type="spellStart"/>
            <w:r w:rsidRPr="002A447B">
              <w:rPr>
                <w:rFonts w:cstheme="minorHAnsi"/>
              </w:rPr>
              <w:t>Screeningul</w:t>
            </w:r>
            <w:proofErr w:type="spellEnd"/>
            <w:r w:rsidRPr="002A447B">
              <w:rPr>
                <w:rFonts w:cstheme="minorHAnsi"/>
              </w:rPr>
              <w:t xml:space="preserve"> și detectarea timpurie</w:t>
            </w:r>
          </w:p>
          <w:p w14:paraId="2DD4785F" w14:textId="77777777" w:rsidR="006F67BA" w:rsidRPr="002A447B" w:rsidRDefault="006F67BA" w:rsidP="002A447B">
            <w:pPr>
              <w:spacing w:before="60"/>
              <w:jc w:val="both"/>
              <w:rPr>
                <w:rFonts w:cstheme="minorHAnsi"/>
              </w:rPr>
            </w:pPr>
          </w:p>
          <w:p w14:paraId="631C3466" w14:textId="18A2C582" w:rsidR="003B3DAF" w:rsidRPr="002A447B" w:rsidRDefault="003B3DAF" w:rsidP="002A447B">
            <w:pPr>
              <w:spacing w:before="60"/>
              <w:jc w:val="both"/>
              <w:rPr>
                <w:rFonts w:cstheme="minorHAnsi"/>
              </w:rPr>
            </w:pPr>
            <w:r w:rsidRPr="002A447B">
              <w:rPr>
                <w:rFonts w:cstheme="minorHAnsi"/>
              </w:rPr>
              <w:t xml:space="preserve">(2) Dezvoltarea de noi metode și tehnologii pentru </w:t>
            </w:r>
            <w:proofErr w:type="spellStart"/>
            <w:r w:rsidR="00C53666" w:rsidRPr="002A447B">
              <w:rPr>
                <w:rFonts w:cstheme="minorHAnsi"/>
              </w:rPr>
              <w:t>screningul</w:t>
            </w:r>
            <w:proofErr w:type="spellEnd"/>
            <w:r w:rsidR="0066722B" w:rsidRPr="002A447B">
              <w:rPr>
                <w:rFonts w:cstheme="minorHAnsi"/>
              </w:rPr>
              <w:t xml:space="preserve"> </w:t>
            </w:r>
            <w:r w:rsidRPr="002A447B">
              <w:rPr>
                <w:rFonts w:cstheme="minorHAnsi"/>
              </w:rPr>
              <w:t xml:space="preserve">și depistarea precoce (2021-2026): prin cercetare, </w:t>
            </w:r>
            <w:r w:rsidR="00014EAB" w:rsidRPr="002A447B">
              <w:rPr>
                <w:rFonts w:cstheme="minorHAnsi"/>
              </w:rPr>
              <w:t xml:space="preserve">măsura </w:t>
            </w:r>
            <w:r w:rsidRPr="002A447B">
              <w:rPr>
                <w:rFonts w:cstheme="minorHAnsi"/>
              </w:rPr>
              <w:t xml:space="preserve">va dezvolta metodologii neinvazive (sau minim-invazive) de depistare și detectare a cancerului ("diagnostice integrate" - imagistică, țesuturi, fluide, </w:t>
            </w:r>
            <w:proofErr w:type="spellStart"/>
            <w:r w:rsidRPr="002A447B">
              <w:rPr>
                <w:rFonts w:cstheme="minorHAnsi"/>
              </w:rPr>
              <w:t>biomarkeri</w:t>
            </w:r>
            <w:proofErr w:type="spellEnd"/>
            <w:r w:rsidRPr="002A447B">
              <w:rPr>
                <w:rFonts w:cstheme="minorHAnsi"/>
              </w:rPr>
              <w:t xml:space="preserve"> clinici), utilizând, de asemenea, inteligența artificială. </w:t>
            </w:r>
          </w:p>
          <w:p w14:paraId="4C13065E" w14:textId="77777777" w:rsidR="003B3DAF" w:rsidRPr="002A447B" w:rsidRDefault="003B3DAF" w:rsidP="002A447B">
            <w:pPr>
              <w:spacing w:before="60"/>
              <w:jc w:val="both"/>
              <w:rPr>
                <w:rFonts w:cstheme="minorHAnsi"/>
              </w:rPr>
            </w:pPr>
          </w:p>
          <w:p w14:paraId="10E831C6" w14:textId="630C6A9F" w:rsidR="003B3DAF" w:rsidRPr="002A447B" w:rsidRDefault="003B3DAF" w:rsidP="002A447B">
            <w:pPr>
              <w:spacing w:before="60"/>
              <w:jc w:val="both"/>
              <w:rPr>
                <w:rFonts w:cstheme="minorHAnsi"/>
              </w:rPr>
            </w:pPr>
            <w:r w:rsidRPr="002A447B">
              <w:rPr>
                <w:rFonts w:cstheme="minorHAnsi"/>
              </w:rPr>
              <w:t>(3) Dezvoltarea p</w:t>
            </w:r>
            <w:r w:rsidR="00C53666" w:rsidRPr="002A447B">
              <w:rPr>
                <w:rFonts w:cstheme="minorHAnsi"/>
              </w:rPr>
              <w:t xml:space="preserve">revenției și </w:t>
            </w:r>
            <w:r w:rsidRPr="002A447B">
              <w:rPr>
                <w:rFonts w:cstheme="minorHAnsi"/>
              </w:rPr>
              <w:t>test</w:t>
            </w:r>
            <w:r w:rsidR="00C53666" w:rsidRPr="002A447B">
              <w:rPr>
                <w:rFonts w:cstheme="minorHAnsi"/>
              </w:rPr>
              <w:t>ării</w:t>
            </w:r>
            <w:r w:rsidRPr="002A447B">
              <w:rPr>
                <w:rFonts w:cstheme="minorHAnsi"/>
              </w:rPr>
              <w:t xml:space="preserve"> timpurii (2025-2030): prin cercetare, </w:t>
            </w:r>
            <w:r w:rsidR="00232A44" w:rsidRPr="002A447B">
              <w:rPr>
                <w:rFonts w:cstheme="minorHAnsi"/>
              </w:rPr>
              <w:t xml:space="preserve">măsura/misiunea </w:t>
            </w:r>
            <w:r w:rsidRPr="002A447B">
              <w:rPr>
                <w:rFonts w:cstheme="minorHAnsi"/>
              </w:rPr>
              <w:t xml:space="preserve"> va dezvolta </w:t>
            </w:r>
            <w:r w:rsidR="00232A44" w:rsidRPr="002A447B">
              <w:rPr>
                <w:rFonts w:cstheme="minorHAnsi"/>
              </w:rPr>
              <w:t xml:space="preserve">prevenția </w:t>
            </w:r>
            <w:r w:rsidRPr="002A447B">
              <w:rPr>
                <w:rFonts w:cstheme="minorHAnsi"/>
              </w:rPr>
              <w:t>timpuri</w:t>
            </w:r>
            <w:r w:rsidR="00232A44" w:rsidRPr="002A447B">
              <w:rPr>
                <w:rFonts w:cstheme="minorHAnsi"/>
              </w:rPr>
              <w:t>e</w:t>
            </w:r>
            <w:r w:rsidRPr="002A447B">
              <w:rPr>
                <w:rFonts w:cstheme="minorHAnsi"/>
              </w:rPr>
              <w:t xml:space="preserve"> înainte de debutul bolii</w:t>
            </w:r>
            <w:r w:rsidR="00232A44" w:rsidRPr="002A447B">
              <w:rPr>
                <w:rFonts w:cstheme="minorHAnsi"/>
              </w:rPr>
              <w:t>/instalarea bolii</w:t>
            </w:r>
            <w:r w:rsidRPr="002A447B">
              <w:rPr>
                <w:rFonts w:cstheme="minorHAnsi"/>
              </w:rPr>
              <w:t xml:space="preserve"> (adică în stadiul asimptomatic), astfel încât oamenii să poată anticipa și adapta în consecință. Integrând utilizarea </w:t>
            </w:r>
            <w:r w:rsidR="00232A44" w:rsidRPr="002A447B">
              <w:rPr>
                <w:rFonts w:cstheme="minorHAnsi"/>
              </w:rPr>
              <w:t xml:space="preserve">prevenției timpurii </w:t>
            </w:r>
            <w:r w:rsidRPr="002A447B">
              <w:rPr>
                <w:rFonts w:cstheme="minorHAnsi"/>
              </w:rPr>
              <w:t>în sistemele naționale de sănătate, tratamentele vor fi posibile într-un stadiu mai devreme, potențial vindecabil, ceea ce va reduce morbiditatea tratamentului, costurile asistenței medicale și perspectivele de depășire a bolii. Etapa: Nivelul de pregătire tehnologică 4 și mai sus.</w:t>
            </w:r>
          </w:p>
          <w:p w14:paraId="36CA2271" w14:textId="77777777" w:rsidR="003B3DAF" w:rsidRPr="002A447B" w:rsidRDefault="003B3DAF" w:rsidP="002A447B">
            <w:pPr>
              <w:spacing w:before="60"/>
              <w:jc w:val="both"/>
              <w:rPr>
                <w:rFonts w:cstheme="minorHAnsi"/>
              </w:rPr>
            </w:pPr>
          </w:p>
          <w:p w14:paraId="039814A8" w14:textId="3573B583" w:rsidR="003B3DAF" w:rsidRPr="002A447B" w:rsidRDefault="00014EAB" w:rsidP="002A447B">
            <w:pPr>
              <w:spacing w:before="60"/>
              <w:jc w:val="both"/>
              <w:rPr>
                <w:rFonts w:cstheme="minorHAnsi"/>
              </w:rPr>
            </w:pPr>
            <w:r w:rsidRPr="002A447B">
              <w:rPr>
                <w:rFonts w:cstheme="minorHAnsi"/>
              </w:rPr>
              <w:t xml:space="preserve">Măsura </w:t>
            </w:r>
            <w:r w:rsidR="003B3DAF" w:rsidRPr="002A447B">
              <w:rPr>
                <w:rFonts w:cstheme="minorHAnsi"/>
              </w:rPr>
              <w:t xml:space="preserve">privind cancerul își propune să contribuie la agenda UE privind inteligența artificială (IA) prin crearea și finanțarea programelor de cercetare pentru dezvoltarea diagnosticului și terapiilor IA, bazate pe următoarea generație de tehnologii IA. De exemplu, potențialul IA ar putea fi valorificat pentru a cerceta noi medicamente prin cercetare inteligentă de pliere a proteinelor. De asemenea, misiunea poate promova calculul de înaltă performanță pentru medicina de precizie, care este utilizat pentru investigarea modului în care mutații ale proteinelor pot duce la cancer. Analizând datele din simulări, oamenii de știință pot proiecta în mod explicit medicamente </w:t>
            </w:r>
            <w:r w:rsidR="009603CF" w:rsidRPr="002A447B">
              <w:rPr>
                <w:rFonts w:cstheme="minorHAnsi"/>
              </w:rPr>
              <w:t>dedicate</w:t>
            </w:r>
            <w:r w:rsidR="003B3DAF" w:rsidRPr="002A447B">
              <w:rPr>
                <w:rFonts w:cstheme="minorHAnsi"/>
              </w:rPr>
              <w:t xml:space="preserve"> pentru proteine mutante. Comunicarea recent adoptată intitulată "Promovarea unei abordări europene a inteligenței artificiale"59 urmărește să creeze poziția de lider mondial a UE în domeniul IA.</w:t>
            </w:r>
          </w:p>
          <w:p w14:paraId="7C5D2F12" w14:textId="77777777" w:rsidR="003B3DAF" w:rsidRPr="002A447B" w:rsidRDefault="003B3DAF" w:rsidP="002A447B">
            <w:pPr>
              <w:spacing w:before="60"/>
              <w:jc w:val="both"/>
              <w:rPr>
                <w:rFonts w:cstheme="minorHAnsi"/>
              </w:rPr>
            </w:pPr>
          </w:p>
          <w:p w14:paraId="42B0839A" w14:textId="4B1AA702" w:rsidR="00D251BB" w:rsidRPr="002A447B" w:rsidRDefault="00D251BB" w:rsidP="002A447B">
            <w:pPr>
              <w:spacing w:before="60"/>
              <w:jc w:val="both"/>
              <w:rPr>
                <w:rFonts w:cstheme="minorHAnsi"/>
              </w:rPr>
            </w:pPr>
            <w:r w:rsidRPr="002A447B">
              <w:rPr>
                <w:rFonts w:cstheme="minorHAnsi"/>
              </w:rPr>
              <w:lastRenderedPageBreak/>
              <w:t>Cereri de propuneri privind cercetarea în domeniul cancerului:</w:t>
            </w:r>
          </w:p>
          <w:p w14:paraId="08B58E9B" w14:textId="77777777" w:rsidR="00D251BB" w:rsidRPr="002A447B" w:rsidRDefault="00D251BB" w:rsidP="002A447B">
            <w:pPr>
              <w:spacing w:before="60"/>
              <w:jc w:val="both"/>
              <w:rPr>
                <w:rFonts w:cstheme="minorHAnsi"/>
              </w:rPr>
            </w:pPr>
          </w:p>
          <w:p w14:paraId="382C73C0" w14:textId="77777777" w:rsidR="00D251BB" w:rsidRPr="002A447B" w:rsidRDefault="00000000" w:rsidP="002A447B">
            <w:pPr>
              <w:spacing w:before="60"/>
              <w:jc w:val="both"/>
              <w:rPr>
                <w:rFonts w:cstheme="minorHAnsi"/>
              </w:rPr>
            </w:pPr>
            <w:hyperlink r:id="rId5" w:history="1">
              <w:r w:rsidR="00D251BB" w:rsidRPr="002A447B">
                <w:rPr>
                  <w:rStyle w:val="Hyperlink"/>
                  <w:rFonts w:cstheme="minorHAnsi"/>
                </w:rPr>
                <w:t>HORIZON-MISS-2022-CANCER-01-01</w:t>
              </w:r>
            </w:hyperlink>
            <w:r w:rsidR="00D251BB" w:rsidRPr="002A447B">
              <w:rPr>
                <w:rFonts w:cstheme="minorHAnsi"/>
              </w:rPr>
              <w:t xml:space="preserve"> - </w:t>
            </w:r>
            <w:r w:rsidR="00D251BB" w:rsidRPr="002A447B">
              <w:rPr>
                <w:rFonts w:cstheme="minorHAnsi"/>
                <w:b/>
                <w:i/>
              </w:rPr>
              <w:t>Îmbunătățirea și extinderea prevenirii primare a cancerului prin cercetare de implementare (Anul bugetar 2022- 50.000.000 EUR)</w:t>
            </w:r>
          </w:p>
          <w:p w14:paraId="1C61635F" w14:textId="77777777" w:rsidR="00D251BB" w:rsidRPr="002A447B" w:rsidRDefault="00D251BB" w:rsidP="002A447B">
            <w:pPr>
              <w:spacing w:before="60"/>
              <w:jc w:val="both"/>
              <w:rPr>
                <w:rFonts w:cstheme="minorHAnsi"/>
              </w:rPr>
            </w:pPr>
            <w:r w:rsidRPr="002A447B">
              <w:rPr>
                <w:rFonts w:cstheme="minorHAnsi"/>
              </w:rPr>
              <w:t>Sunt necesare investiții pentru a stabili, a extinde sau a îmbunătăți programele primare de prevenire a cancerului. Ar trebui identificate și abordate barierele care împiedică adoptarea și punerea lor în aplicare eficace. De asemenea, programele primare de prevenire a cancerului ar trebui să fie adaptate la nevoile specifice ale populațiilor țintă, ținând seama de condițiile socioeconomice, culturale și geografice.</w:t>
            </w:r>
          </w:p>
          <w:p w14:paraId="5F2DE616" w14:textId="77777777" w:rsidR="00D251BB" w:rsidRPr="002A447B" w:rsidRDefault="00D251BB" w:rsidP="002A447B">
            <w:pPr>
              <w:spacing w:before="60"/>
              <w:jc w:val="both"/>
              <w:rPr>
                <w:rFonts w:cstheme="minorHAnsi"/>
              </w:rPr>
            </w:pPr>
          </w:p>
          <w:p w14:paraId="7EE0CB21" w14:textId="77777777" w:rsidR="00D251BB" w:rsidRPr="002A447B" w:rsidRDefault="00000000" w:rsidP="002A447B">
            <w:pPr>
              <w:spacing w:before="60"/>
              <w:jc w:val="both"/>
              <w:rPr>
                <w:rFonts w:cstheme="minorHAnsi"/>
                <w:b/>
                <w:i/>
              </w:rPr>
            </w:pPr>
            <w:hyperlink r:id="rId6" w:history="1">
              <w:r w:rsidR="00D251BB" w:rsidRPr="002A447B">
                <w:rPr>
                  <w:rStyle w:val="Hyperlink"/>
                  <w:rFonts w:cstheme="minorHAnsi"/>
                </w:rPr>
                <w:t>HORIZON-MISS-2022-CANCER-01-02</w:t>
              </w:r>
            </w:hyperlink>
            <w:r w:rsidR="00D251BB" w:rsidRPr="002A447B">
              <w:rPr>
                <w:rFonts w:cstheme="minorHAnsi"/>
              </w:rPr>
              <w:t xml:space="preserve"> - </w:t>
            </w:r>
            <w:r w:rsidR="00D251BB" w:rsidRPr="002A447B">
              <w:rPr>
                <w:rFonts w:cstheme="minorHAnsi"/>
                <w:b/>
                <w:i/>
              </w:rPr>
              <w:t>Consolidarea capacităților de cercetare ale infrastructurilor cuprinzătoare de cancer (anul bugetar 2022- 10 000.000 EUR)</w:t>
            </w:r>
          </w:p>
          <w:p w14:paraId="10DDBBD5" w14:textId="77777777" w:rsidR="00D251BB" w:rsidRPr="002A447B" w:rsidRDefault="00D251BB" w:rsidP="002A447B">
            <w:pPr>
              <w:spacing w:before="60"/>
              <w:jc w:val="both"/>
              <w:rPr>
                <w:rFonts w:cstheme="minorHAnsi"/>
              </w:rPr>
            </w:pPr>
            <w:r w:rsidRPr="002A447B">
              <w:rPr>
                <w:rFonts w:cstheme="minorHAnsi"/>
              </w:rPr>
              <w:t>Misiunea își propune să atingă obiectivul de a se asigura că 90 % dintre pacienții eligibili cu cancer au acces la infrastructuri cuprinzătoare de cancer până în 2030.</w:t>
            </w:r>
          </w:p>
          <w:p w14:paraId="257BA42F" w14:textId="5D2F423A" w:rsidR="00D251BB" w:rsidRPr="002A447B" w:rsidRDefault="00D251BB" w:rsidP="002A447B">
            <w:pPr>
              <w:spacing w:before="60"/>
              <w:jc w:val="both"/>
              <w:rPr>
                <w:rFonts w:cstheme="minorHAnsi"/>
              </w:rPr>
            </w:pPr>
            <w:r w:rsidRPr="002A447B">
              <w:rPr>
                <w:rFonts w:cstheme="minorHAnsi"/>
              </w:rPr>
              <w:t>Propunerile din cadrul acestui subiect ar trebui să vizeze obținerea de rezultate care să fie direcționate și să contribuie la toate</w:t>
            </w:r>
            <w:r w:rsidR="00233D78" w:rsidRPr="002A447B">
              <w:rPr>
                <w:rFonts w:cstheme="minorHAnsi"/>
              </w:rPr>
              <w:t xml:space="preserve"> </w:t>
            </w:r>
            <w:r w:rsidRPr="002A447B">
              <w:rPr>
                <w:rFonts w:cstheme="minorHAnsi"/>
              </w:rPr>
              <w:t>rezultatele viitoare:</w:t>
            </w:r>
          </w:p>
          <w:p w14:paraId="135675B2" w14:textId="77777777" w:rsidR="00D251BB" w:rsidRPr="002A447B" w:rsidRDefault="00D251BB" w:rsidP="002A447B">
            <w:pPr>
              <w:pStyle w:val="ListParagraph"/>
              <w:numPr>
                <w:ilvl w:val="0"/>
                <w:numId w:val="1"/>
              </w:numPr>
              <w:spacing w:before="60"/>
              <w:contextualSpacing w:val="0"/>
              <w:jc w:val="both"/>
              <w:rPr>
                <w:rFonts w:cstheme="minorHAnsi"/>
              </w:rPr>
            </w:pPr>
            <w:r w:rsidRPr="002A447B">
              <w:rPr>
                <w:rFonts w:cstheme="minorHAnsi"/>
              </w:rPr>
              <w:t>Factorii de decizie din domeniul cercetării și al sănătății vor beneficia de sprijin pentru dezvoltarea sau crearea în continuare a unor infrastructuri cuprinzătoare în domeniul cancerului, care să conducă la îmbunătățirea cercetării și a accesului la asistență medicală;</w:t>
            </w:r>
          </w:p>
          <w:p w14:paraId="76EDE03D" w14:textId="77777777" w:rsidR="00D251BB" w:rsidRPr="002A447B" w:rsidRDefault="00D251BB" w:rsidP="002A447B">
            <w:pPr>
              <w:pStyle w:val="ListParagraph"/>
              <w:numPr>
                <w:ilvl w:val="0"/>
                <w:numId w:val="1"/>
              </w:numPr>
              <w:spacing w:before="60"/>
              <w:contextualSpacing w:val="0"/>
              <w:jc w:val="both"/>
              <w:rPr>
                <w:rFonts w:cstheme="minorHAnsi"/>
              </w:rPr>
            </w:pPr>
            <w:r w:rsidRPr="002A447B">
              <w:rPr>
                <w:rFonts w:cstheme="minorHAnsi"/>
              </w:rPr>
              <w:t>Profesioniștii din domeniul cercetării și al asistenței medicale vor beneficia de o mai bună integrare între cercetare și îngrijire;</w:t>
            </w:r>
          </w:p>
          <w:p w14:paraId="1EC0754E" w14:textId="77777777" w:rsidR="00D251BB" w:rsidRPr="002A447B" w:rsidRDefault="00D251BB" w:rsidP="002A447B">
            <w:pPr>
              <w:pStyle w:val="ListParagraph"/>
              <w:numPr>
                <w:ilvl w:val="0"/>
                <w:numId w:val="1"/>
              </w:numPr>
              <w:spacing w:before="60"/>
              <w:contextualSpacing w:val="0"/>
              <w:jc w:val="both"/>
              <w:rPr>
                <w:rFonts w:cstheme="minorHAnsi"/>
              </w:rPr>
            </w:pPr>
            <w:r w:rsidRPr="002A447B">
              <w:rPr>
                <w:rFonts w:cstheme="minorHAnsi"/>
              </w:rPr>
              <w:t>Cercetătorii vor beneficia de infrastructuri inovatoare pentru a efectua cercetări și a participa la studii;</w:t>
            </w:r>
          </w:p>
          <w:p w14:paraId="5860EF9A" w14:textId="77777777" w:rsidR="00D251BB" w:rsidRPr="002A447B" w:rsidRDefault="00D251BB" w:rsidP="002A447B">
            <w:pPr>
              <w:pStyle w:val="ListParagraph"/>
              <w:numPr>
                <w:ilvl w:val="0"/>
                <w:numId w:val="1"/>
              </w:numPr>
              <w:spacing w:before="60"/>
              <w:contextualSpacing w:val="0"/>
              <w:jc w:val="both"/>
              <w:rPr>
                <w:rFonts w:cstheme="minorHAnsi"/>
              </w:rPr>
            </w:pPr>
            <w:r w:rsidRPr="002A447B">
              <w:rPr>
                <w:rFonts w:cstheme="minorHAnsi"/>
              </w:rPr>
              <w:t>Cetățenii, inclusiv pacienții și îngrijitorii acestora, vor avea acces sporit la screening, diagnosticare și tratamente, căi de îngrijire îmbunătățite și îngrijire mai integrată. Implicarea și participarea acestora la studiile clinice vor fi facilitate.</w:t>
            </w:r>
          </w:p>
          <w:p w14:paraId="11A15472" w14:textId="77777777" w:rsidR="00D251BB" w:rsidRPr="002A447B" w:rsidRDefault="00000000" w:rsidP="002A447B">
            <w:pPr>
              <w:spacing w:before="60"/>
              <w:jc w:val="both"/>
              <w:rPr>
                <w:rFonts w:cstheme="minorHAnsi"/>
              </w:rPr>
            </w:pPr>
            <w:hyperlink r:id="rId7" w:history="1">
              <w:r w:rsidR="00D251BB" w:rsidRPr="002A447B">
                <w:rPr>
                  <w:rStyle w:val="Hyperlink"/>
                  <w:rFonts w:cstheme="minorHAnsi"/>
                </w:rPr>
                <w:t>HORIZON-MISS-2022-CANCER-01-03</w:t>
              </w:r>
            </w:hyperlink>
            <w:r w:rsidR="00D251BB" w:rsidRPr="002A447B">
              <w:rPr>
                <w:rFonts w:cstheme="minorHAnsi"/>
              </w:rPr>
              <w:t xml:space="preserve"> - </w:t>
            </w:r>
            <w:r w:rsidR="00D251BB" w:rsidRPr="002A447B">
              <w:rPr>
                <w:rFonts w:cstheme="minorHAnsi"/>
                <w:b/>
                <w:i/>
              </w:rPr>
              <w:t>Studii clinice pragmatice pentru optimizarea tratamentelor pentru pacienții cu cancer refractar (Anul bugetar 2022- 60.000.000 EUR)</w:t>
            </w:r>
          </w:p>
          <w:p w14:paraId="753150DC" w14:textId="77777777" w:rsidR="00D251BB" w:rsidRPr="002A447B" w:rsidRDefault="00D251BB" w:rsidP="002A447B">
            <w:pPr>
              <w:spacing w:before="60"/>
              <w:jc w:val="both"/>
              <w:rPr>
                <w:rFonts w:cstheme="minorHAnsi"/>
              </w:rPr>
            </w:pPr>
            <w:r w:rsidRPr="002A447B">
              <w:rPr>
                <w:rFonts w:cstheme="minorHAnsi"/>
              </w:rPr>
              <w:t>Studiile pragmatice evaluează eficacitatea, efectul tratamentului în practica clinică de rutină (din lumea reală). Câteva exemple includ tratamentul versus supravegherea activă în managementul pacientului, combinarea intervențiilor de tratament, determinarea dozei optime și a programului de doze, detensionarea intervenției tratamentului, eficacitatea comparativă a diferitelor intervenții de tratament.</w:t>
            </w:r>
          </w:p>
          <w:p w14:paraId="7FF7F1A4" w14:textId="77777777" w:rsidR="00D251BB" w:rsidRPr="002A447B" w:rsidRDefault="00D251BB" w:rsidP="002A447B">
            <w:pPr>
              <w:spacing w:before="60"/>
              <w:jc w:val="both"/>
              <w:rPr>
                <w:rFonts w:cstheme="minorHAnsi"/>
              </w:rPr>
            </w:pPr>
          </w:p>
          <w:p w14:paraId="65FE2C2B" w14:textId="77777777" w:rsidR="00D251BB" w:rsidRPr="002A447B" w:rsidRDefault="00000000" w:rsidP="002A447B">
            <w:pPr>
              <w:spacing w:before="60"/>
              <w:jc w:val="both"/>
              <w:rPr>
                <w:rFonts w:cstheme="minorHAnsi"/>
              </w:rPr>
            </w:pPr>
            <w:hyperlink r:id="rId8" w:history="1">
              <w:r w:rsidR="00D251BB" w:rsidRPr="002A447B">
                <w:rPr>
                  <w:rStyle w:val="Hyperlink"/>
                  <w:rFonts w:cstheme="minorHAnsi"/>
                </w:rPr>
                <w:t>HORIZON-MISS-2022-CANCER-01-04</w:t>
              </w:r>
            </w:hyperlink>
            <w:r w:rsidR="00D251BB" w:rsidRPr="002A447B">
              <w:rPr>
                <w:rFonts w:cstheme="minorHAnsi"/>
              </w:rPr>
              <w:t xml:space="preserve"> - </w:t>
            </w:r>
            <w:r w:rsidR="00D251BB" w:rsidRPr="002A447B">
              <w:rPr>
                <w:rFonts w:cstheme="minorHAnsi"/>
                <w:b/>
                <w:i/>
              </w:rPr>
              <w:t>Către crearea unui Centru digital european pentru pacienții cu cancer (anul bugetar 2022- 3.000.000 EUR)</w:t>
            </w:r>
          </w:p>
          <w:p w14:paraId="62F156BE" w14:textId="77777777" w:rsidR="00D251BB" w:rsidRPr="002A447B" w:rsidRDefault="00D251BB" w:rsidP="002A447B">
            <w:pPr>
              <w:spacing w:before="60"/>
              <w:jc w:val="both"/>
              <w:rPr>
                <w:rFonts w:cstheme="minorHAnsi"/>
              </w:rPr>
            </w:pPr>
            <w:r w:rsidRPr="002A447B">
              <w:rPr>
                <w:rFonts w:cstheme="minorHAnsi"/>
              </w:rPr>
              <w:t>Rezultatele proiectului vor sprijini crearea unui Centru digital european virtual pentru pacienții cu cancer (ECPDC), care este o rețea federativă de infrastructuri de date medicale controlate de pacienți (la nivel național) care să permită schimbul voluntar de date medicale ale pacienților și supraviețuitorilor într-o abordare standardizată, pentru uz primar și secundar.</w:t>
            </w:r>
          </w:p>
          <w:p w14:paraId="5F99B128" w14:textId="77777777" w:rsidR="00D251BB" w:rsidRPr="002A447B" w:rsidRDefault="00D251BB" w:rsidP="002A447B">
            <w:pPr>
              <w:spacing w:before="60"/>
              <w:jc w:val="both"/>
              <w:rPr>
                <w:rFonts w:cstheme="minorHAnsi"/>
              </w:rPr>
            </w:pPr>
          </w:p>
          <w:p w14:paraId="262E2838" w14:textId="77777777" w:rsidR="00D251BB" w:rsidRPr="002A447B" w:rsidRDefault="00000000" w:rsidP="002A447B">
            <w:pPr>
              <w:spacing w:before="60"/>
              <w:jc w:val="both"/>
              <w:rPr>
                <w:rFonts w:cstheme="minorHAnsi"/>
              </w:rPr>
            </w:pPr>
            <w:hyperlink r:id="rId9" w:history="1">
              <w:r w:rsidR="00D251BB" w:rsidRPr="002A447B">
                <w:rPr>
                  <w:rStyle w:val="Hyperlink"/>
                  <w:rFonts w:cstheme="minorHAnsi"/>
                </w:rPr>
                <w:t>HORIZON-MISS-2022-CANCER-01-05</w:t>
              </w:r>
            </w:hyperlink>
            <w:r w:rsidR="00D251BB" w:rsidRPr="002A447B">
              <w:rPr>
                <w:rFonts w:cstheme="minorHAnsi"/>
              </w:rPr>
              <w:t xml:space="preserve"> - </w:t>
            </w:r>
            <w:r w:rsidR="00D251BB" w:rsidRPr="002A447B">
              <w:rPr>
                <w:rFonts w:cstheme="minorHAnsi"/>
                <w:b/>
                <w:i/>
              </w:rPr>
              <w:t>Înființarea unor centre naționale de misiune în domeniul cancerului și crearea unei rețele pentru sprijinirea Misiunii privind Cancerul (Anul bugetar 2022- 3.000.000 EUR)</w:t>
            </w:r>
          </w:p>
          <w:p w14:paraId="53C9BA45" w14:textId="77777777" w:rsidR="00D251BB" w:rsidRPr="002A447B" w:rsidRDefault="00D251BB" w:rsidP="002A447B">
            <w:pPr>
              <w:spacing w:before="60"/>
              <w:jc w:val="both"/>
              <w:rPr>
                <w:rFonts w:cstheme="minorHAnsi"/>
              </w:rPr>
            </w:pPr>
            <w:r w:rsidRPr="002A447B">
              <w:rPr>
                <w:rFonts w:cstheme="minorHAnsi"/>
              </w:rPr>
              <w:t>Ținând seama de diferențele dintre sistemele naționale de sănătate și cercetare și inovare, coordonarea și sprijinirea activităților legate de misiunile în domeniul cancerului la nivel național, regional și, după caz, la nivel local sunt esențiale în această privință. În același timp, trebuie generate sinergii cu acțiunile din cadrul Planului european de combatere a cancerului.</w:t>
            </w:r>
          </w:p>
          <w:p w14:paraId="7CFBBF4E" w14:textId="77777777" w:rsidR="00D251BB" w:rsidRPr="002A447B" w:rsidRDefault="00D251BB" w:rsidP="002A447B">
            <w:pPr>
              <w:spacing w:before="60"/>
              <w:jc w:val="both"/>
              <w:rPr>
                <w:rFonts w:cstheme="minorHAnsi"/>
              </w:rPr>
            </w:pPr>
          </w:p>
        </w:tc>
        <w:tc>
          <w:tcPr>
            <w:tcW w:w="4373" w:type="dxa"/>
          </w:tcPr>
          <w:p w14:paraId="60E71629" w14:textId="77777777" w:rsidR="00D251BB" w:rsidRPr="002A447B" w:rsidRDefault="00000000" w:rsidP="002A447B">
            <w:pPr>
              <w:spacing w:before="60"/>
              <w:jc w:val="both"/>
              <w:rPr>
                <w:rFonts w:cstheme="minorHAnsi"/>
                <w:b/>
              </w:rPr>
            </w:pPr>
            <w:hyperlink r:id="rId10" w:history="1">
              <w:r w:rsidR="00D251BB" w:rsidRPr="002A447B">
                <w:rPr>
                  <w:rStyle w:val="Hyperlink"/>
                  <w:rFonts w:cstheme="minorHAnsi"/>
                  <w:b/>
                  <w:i/>
                </w:rPr>
                <w:t>Investiția 5</w:t>
              </w:r>
            </w:hyperlink>
            <w:r w:rsidR="00D251BB" w:rsidRPr="002A447B">
              <w:rPr>
                <w:rFonts w:cstheme="minorHAnsi"/>
                <w:b/>
                <w:i/>
              </w:rPr>
              <w:t>. Înființarea și operaționalizarea Centrelor de Competență</w:t>
            </w:r>
            <w:r w:rsidR="00D251BB" w:rsidRPr="002A447B">
              <w:rPr>
                <w:rFonts w:cstheme="minorHAnsi"/>
                <w:b/>
              </w:rPr>
              <w:t xml:space="preserve"> (25 mil. Euro)</w:t>
            </w:r>
          </w:p>
          <w:p w14:paraId="1C4A026E" w14:textId="77777777" w:rsidR="00D251BB" w:rsidRPr="002A447B" w:rsidRDefault="00D251BB" w:rsidP="002A447B">
            <w:pPr>
              <w:spacing w:before="60"/>
              <w:jc w:val="both"/>
              <w:rPr>
                <w:rFonts w:cstheme="minorHAnsi"/>
                <w:b/>
              </w:rPr>
            </w:pPr>
          </w:p>
          <w:p w14:paraId="5E4C0023" w14:textId="7F5732CC" w:rsidR="00D251BB" w:rsidRPr="002A447B" w:rsidRDefault="00D251BB" w:rsidP="002A447B">
            <w:pPr>
              <w:spacing w:before="60"/>
              <w:jc w:val="both"/>
              <w:rPr>
                <w:rFonts w:cstheme="minorHAnsi"/>
              </w:rPr>
            </w:pPr>
            <w:r w:rsidRPr="002A447B">
              <w:rPr>
                <w:rFonts w:cstheme="minorHAnsi"/>
              </w:rPr>
              <w:t xml:space="preserve">Pentru a aborda fragmentarea tematică a organizațiilor de cercetare, dezvoltare și inovare, </w:t>
            </w:r>
            <w:r w:rsidR="00C767E7" w:rsidRPr="002A447B">
              <w:rPr>
                <w:rFonts w:cstheme="minorHAnsi"/>
              </w:rPr>
              <w:t xml:space="preserve">va </w:t>
            </w:r>
            <w:r w:rsidR="0060704B" w:rsidRPr="002A447B">
              <w:rPr>
                <w:rFonts w:cstheme="minorHAnsi"/>
              </w:rPr>
              <w:t xml:space="preserve">fi </w:t>
            </w:r>
            <w:r w:rsidR="00C767E7" w:rsidRPr="002A447B">
              <w:rPr>
                <w:rFonts w:cstheme="minorHAnsi"/>
              </w:rPr>
              <w:t>organiza</w:t>
            </w:r>
            <w:r w:rsidR="0060704B" w:rsidRPr="002A447B">
              <w:rPr>
                <w:rFonts w:cstheme="minorHAnsi"/>
              </w:rPr>
              <w:t>t</w:t>
            </w:r>
            <w:r w:rsidR="00C767E7" w:rsidRPr="002A447B">
              <w:rPr>
                <w:rFonts w:cstheme="minorHAnsi"/>
              </w:rPr>
              <w:t xml:space="preserve"> </w:t>
            </w:r>
            <w:r w:rsidR="0060704B" w:rsidRPr="002A447B">
              <w:rPr>
                <w:rFonts w:cstheme="minorHAnsi"/>
              </w:rPr>
              <w:t>un apel competiții</w:t>
            </w:r>
            <w:r w:rsidRPr="002A447B">
              <w:rPr>
                <w:rFonts w:cstheme="minorHAnsi"/>
              </w:rPr>
              <w:t xml:space="preserve"> </w:t>
            </w:r>
            <w:r w:rsidR="00C767E7" w:rsidRPr="002A447B">
              <w:rPr>
                <w:rFonts w:cstheme="minorHAnsi"/>
              </w:rPr>
              <w:t xml:space="preserve">pentru </w:t>
            </w:r>
            <w:r w:rsidRPr="002A447B">
              <w:rPr>
                <w:rFonts w:cstheme="minorHAnsi"/>
              </w:rPr>
              <w:t xml:space="preserve"> </w:t>
            </w:r>
            <w:r w:rsidR="0060704B" w:rsidRPr="002A447B">
              <w:rPr>
                <w:rFonts w:cstheme="minorHAnsi"/>
              </w:rPr>
              <w:t>selecția</w:t>
            </w:r>
            <w:r w:rsidR="00C767E7" w:rsidRPr="002A447B">
              <w:rPr>
                <w:rFonts w:cstheme="minorHAnsi"/>
              </w:rPr>
              <w:t xml:space="preserve"> </w:t>
            </w:r>
            <w:r w:rsidRPr="002A447B">
              <w:rPr>
                <w:rFonts w:cstheme="minorHAnsi"/>
              </w:rPr>
              <w:t xml:space="preserve"> a</w:t>
            </w:r>
            <w:r w:rsidRPr="002A447B">
              <w:rPr>
                <w:rFonts w:cstheme="minorHAnsi"/>
                <w:b/>
              </w:rPr>
              <w:t xml:space="preserve"> 5 proiecte complexe de cercetare, dezvoltare și inovare</w:t>
            </w:r>
            <w:r w:rsidRPr="002A447B">
              <w:rPr>
                <w:rFonts w:cstheme="minorHAnsi"/>
              </w:rPr>
              <w:t xml:space="preserve">. Schema de finanțare se numește "Centrul de competențe". </w:t>
            </w:r>
          </w:p>
          <w:p w14:paraId="4F44BF62" w14:textId="77777777" w:rsidR="00342AC4" w:rsidRPr="002A447B" w:rsidRDefault="00342AC4" w:rsidP="002A447B">
            <w:pPr>
              <w:spacing w:before="60"/>
              <w:jc w:val="both"/>
              <w:rPr>
                <w:rFonts w:cstheme="minorHAnsi"/>
              </w:rPr>
            </w:pPr>
          </w:p>
          <w:p w14:paraId="24AE382D" w14:textId="1B6EF56F" w:rsidR="00D251BB" w:rsidRPr="002A447B" w:rsidRDefault="00D251BB" w:rsidP="002A447B">
            <w:pPr>
              <w:spacing w:before="60"/>
              <w:jc w:val="both"/>
              <w:rPr>
                <w:rFonts w:cstheme="minorHAnsi"/>
              </w:rPr>
            </w:pPr>
            <w:r w:rsidRPr="002A447B">
              <w:rPr>
                <w:rFonts w:cstheme="minorHAnsi"/>
              </w:rPr>
              <w:t>Pe baza propunerilor de proiecte depuse</w:t>
            </w:r>
            <w:r w:rsidR="00F9516A" w:rsidRPr="002A447B">
              <w:rPr>
                <w:rFonts w:cstheme="minorHAnsi"/>
              </w:rPr>
              <w:t xml:space="preserve">, </w:t>
            </w:r>
            <w:r w:rsidR="0060704B" w:rsidRPr="002A447B">
              <w:rPr>
                <w:rFonts w:cstheme="minorHAnsi"/>
              </w:rPr>
              <w:t xml:space="preserve">ca </w:t>
            </w:r>
            <w:r w:rsidR="00F9516A" w:rsidRPr="002A447B">
              <w:rPr>
                <w:rFonts w:cstheme="minorHAnsi"/>
              </w:rPr>
              <w:t xml:space="preserve"> urma</w:t>
            </w:r>
            <w:r w:rsidR="0060704B" w:rsidRPr="002A447B">
              <w:rPr>
                <w:rFonts w:cstheme="minorHAnsi"/>
              </w:rPr>
              <w:t xml:space="preserve"> a apelului </w:t>
            </w:r>
            <w:r w:rsidRPr="002A447B">
              <w:rPr>
                <w:rFonts w:cstheme="minorHAnsi"/>
              </w:rPr>
              <w:t>competitiv, deschis și transparent organizat de Ministerul Cercetării, Digitalizării și Inovării, se vor înființa 5 centre de competență, câte unul pentru fiecare misiune</w:t>
            </w:r>
            <w:r w:rsidR="002479E5" w:rsidRPr="002A447B">
              <w:rPr>
                <w:rFonts w:cstheme="minorHAnsi"/>
              </w:rPr>
              <w:t xml:space="preserve"> </w:t>
            </w:r>
            <w:r w:rsidR="00F9516A" w:rsidRPr="002A447B">
              <w:rPr>
                <w:rFonts w:cstheme="minorHAnsi"/>
              </w:rPr>
              <w:t xml:space="preserve">Orizont </w:t>
            </w:r>
            <w:r w:rsidRPr="002A447B">
              <w:rPr>
                <w:rFonts w:cstheme="minorHAnsi"/>
              </w:rPr>
              <w:t xml:space="preserve">(combaterea </w:t>
            </w:r>
            <w:r w:rsidRPr="002A447B">
              <w:rPr>
                <w:rFonts w:cstheme="minorHAnsi"/>
                <w:bCs/>
              </w:rPr>
              <w:t>cancerului</w:t>
            </w:r>
            <w:r w:rsidRPr="002A447B">
              <w:rPr>
                <w:rFonts w:cstheme="minorHAnsi"/>
              </w:rPr>
              <w:t>, adaptarea la schimbările climatice, protejarea oceanelor</w:t>
            </w:r>
            <w:r w:rsidR="0060704B" w:rsidRPr="002A447B">
              <w:rPr>
                <w:rFonts w:cstheme="minorHAnsi"/>
              </w:rPr>
              <w:t>,</w:t>
            </w:r>
            <w:r w:rsidRPr="002A447B">
              <w:rPr>
                <w:rFonts w:cstheme="minorHAnsi"/>
              </w:rPr>
              <w:t xml:space="preserve"> tr</w:t>
            </w:r>
            <w:r w:rsidR="00232A44" w:rsidRPr="002A447B">
              <w:rPr>
                <w:rFonts w:cstheme="minorHAnsi"/>
              </w:rPr>
              <w:t>ă</w:t>
            </w:r>
            <w:r w:rsidRPr="002A447B">
              <w:rPr>
                <w:rFonts w:cstheme="minorHAnsi"/>
              </w:rPr>
              <w:t>i</w:t>
            </w:r>
            <w:r w:rsidR="00232A44" w:rsidRPr="002A447B">
              <w:rPr>
                <w:rFonts w:cstheme="minorHAnsi"/>
              </w:rPr>
              <w:t>nd</w:t>
            </w:r>
            <w:r w:rsidRPr="002A447B">
              <w:rPr>
                <w:rFonts w:cstheme="minorHAnsi"/>
              </w:rPr>
              <w:t xml:space="preserve"> în orașe mai </w:t>
            </w:r>
            <w:r w:rsidR="00232A44" w:rsidRPr="002A447B">
              <w:rPr>
                <w:rFonts w:cstheme="minorHAnsi"/>
              </w:rPr>
              <w:t>verzi</w:t>
            </w:r>
            <w:r w:rsidRPr="002A447B">
              <w:rPr>
                <w:rFonts w:cstheme="minorHAnsi"/>
              </w:rPr>
              <w:t xml:space="preserve"> și asigurarea sănătății solului și a alimentelor).</w:t>
            </w:r>
            <w:r w:rsidR="00232A44" w:rsidRPr="002A447B">
              <w:rPr>
                <w:rFonts w:cstheme="minorHAnsi"/>
              </w:rPr>
              <w:t xml:space="preserve"> </w:t>
            </w:r>
            <w:r w:rsidRPr="002A447B">
              <w:rPr>
                <w:rFonts w:cstheme="minorHAnsi"/>
              </w:rPr>
              <w:t xml:space="preserve">Scopul este de a </w:t>
            </w:r>
            <w:r w:rsidR="00C767E7" w:rsidRPr="002A447B">
              <w:rPr>
                <w:rFonts w:cstheme="minorHAnsi"/>
              </w:rPr>
              <w:t xml:space="preserve">implementa </w:t>
            </w:r>
            <w:r w:rsidRPr="002A447B">
              <w:rPr>
                <w:rFonts w:cstheme="minorHAnsi"/>
              </w:rPr>
              <w:t xml:space="preserve">misiunile Orizont Europa la nivel național într-un mod coordonat și de a aborda fragmentarea tematică. </w:t>
            </w:r>
          </w:p>
          <w:p w14:paraId="0ACA6D35" w14:textId="77777777" w:rsidR="00342AC4" w:rsidRPr="002A447B" w:rsidRDefault="00342AC4" w:rsidP="002A447B">
            <w:pPr>
              <w:spacing w:before="60"/>
              <w:jc w:val="both"/>
              <w:rPr>
                <w:rFonts w:cstheme="minorHAnsi"/>
              </w:rPr>
            </w:pPr>
          </w:p>
          <w:p w14:paraId="4AADDAAF" w14:textId="12CC417B" w:rsidR="00D251BB" w:rsidRPr="002A447B" w:rsidRDefault="00D251BB" w:rsidP="002A447B">
            <w:pPr>
              <w:spacing w:before="60"/>
              <w:jc w:val="both"/>
              <w:rPr>
                <w:rFonts w:cstheme="minorHAnsi"/>
              </w:rPr>
            </w:pPr>
            <w:r w:rsidRPr="002A447B">
              <w:rPr>
                <w:rFonts w:cstheme="minorHAnsi"/>
              </w:rPr>
              <w:t>Activitățile eligibile sunt activități de cercetare și inovare, echipamente de cercetare modernizate, activități de diseminare și activități de sprijin (studii privind implementarea, fiecare misiune în România), costuri legate de drepturile de proprietate intelectuală.</w:t>
            </w:r>
          </w:p>
          <w:p w14:paraId="40F8BA24" w14:textId="77777777" w:rsidR="00342AC4" w:rsidRPr="002A447B" w:rsidRDefault="00342AC4" w:rsidP="002A447B">
            <w:pPr>
              <w:spacing w:before="60"/>
              <w:jc w:val="both"/>
              <w:rPr>
                <w:rFonts w:cstheme="minorHAnsi"/>
              </w:rPr>
            </w:pPr>
          </w:p>
          <w:p w14:paraId="0AAB383B" w14:textId="42DF9EC8" w:rsidR="00D251BB" w:rsidRPr="002A447B" w:rsidRDefault="00D251BB" w:rsidP="002A447B">
            <w:pPr>
              <w:spacing w:before="60"/>
              <w:jc w:val="both"/>
              <w:rPr>
                <w:rFonts w:cstheme="minorHAnsi"/>
              </w:rPr>
            </w:pPr>
            <w:r w:rsidRPr="002A447B">
              <w:rPr>
                <w:rFonts w:cstheme="minorHAnsi"/>
              </w:rPr>
              <w:t xml:space="preserve">Un buget eligibil de maximum 5 milioane </w:t>
            </w:r>
            <w:proofErr w:type="spellStart"/>
            <w:r w:rsidRPr="002A447B">
              <w:rPr>
                <w:rFonts w:cstheme="minorHAnsi"/>
              </w:rPr>
              <w:t>eur</w:t>
            </w:r>
            <w:proofErr w:type="spellEnd"/>
            <w:r w:rsidRPr="002A447B">
              <w:rPr>
                <w:rFonts w:cstheme="minorHAnsi"/>
              </w:rPr>
              <w:t xml:space="preserve">/proiect și cu un număr minim de 5 parteneri (5 organizații publice de cercetare, dezvoltare și inovare + 5 organizații private de cercetare, dezvoltare și inovare). </w:t>
            </w:r>
            <w:r w:rsidR="00B2205F" w:rsidRPr="002A447B">
              <w:rPr>
                <w:rFonts w:cstheme="minorHAnsi"/>
              </w:rPr>
              <w:t>Va exista</w:t>
            </w:r>
            <w:r w:rsidRPr="002A447B">
              <w:rPr>
                <w:rFonts w:cstheme="minorHAnsi"/>
              </w:rPr>
              <w:t xml:space="preserve"> un buget maxim pentru IMM-uri, de 200 000 EUR și un buget maxim pentru o organizație publică de cercetare, dezvoltare și inovare de 500 000 EUR. IMM-urile</w:t>
            </w:r>
            <w:r w:rsidR="00B2205F" w:rsidRPr="002A447B">
              <w:rPr>
                <w:rFonts w:cstheme="minorHAnsi"/>
              </w:rPr>
              <w:t xml:space="preserve"> vor </w:t>
            </w:r>
            <w:r w:rsidRPr="002A447B">
              <w:rPr>
                <w:rFonts w:cstheme="minorHAnsi"/>
              </w:rPr>
              <w:t>cofinanț</w:t>
            </w:r>
            <w:r w:rsidR="00B2205F" w:rsidRPr="002A447B">
              <w:rPr>
                <w:rFonts w:cstheme="minorHAnsi"/>
              </w:rPr>
              <w:t>a</w:t>
            </w:r>
            <w:r w:rsidRPr="002A447B">
              <w:rPr>
                <w:rFonts w:cstheme="minorHAnsi"/>
              </w:rPr>
              <w:t xml:space="preserve"> activitățile de cercetare și inovare cu 25 %.</w:t>
            </w:r>
          </w:p>
          <w:p w14:paraId="6598DBF0" w14:textId="77777777" w:rsidR="00D251BB" w:rsidRPr="002A447B" w:rsidRDefault="00D251BB" w:rsidP="002A447B">
            <w:pPr>
              <w:spacing w:before="60"/>
              <w:jc w:val="both"/>
              <w:rPr>
                <w:rFonts w:cstheme="minorHAnsi"/>
                <w:b/>
              </w:rPr>
            </w:pPr>
          </w:p>
          <w:p w14:paraId="343A8258" w14:textId="77777777" w:rsidR="00D251BB" w:rsidRPr="002A447B" w:rsidRDefault="00D251BB" w:rsidP="002A447B">
            <w:pPr>
              <w:spacing w:before="60"/>
              <w:jc w:val="both"/>
              <w:rPr>
                <w:rFonts w:cstheme="minorHAnsi"/>
              </w:rPr>
            </w:pPr>
          </w:p>
        </w:tc>
      </w:tr>
    </w:tbl>
    <w:p w14:paraId="02C18F4C" w14:textId="71A58FB0" w:rsidR="00AE4A14" w:rsidRPr="002A447B" w:rsidRDefault="00AE4A14" w:rsidP="002A447B">
      <w:pPr>
        <w:spacing w:before="60" w:after="0" w:line="240" w:lineRule="auto"/>
        <w:jc w:val="both"/>
        <w:rPr>
          <w:rFonts w:cstheme="minorHAnsi"/>
        </w:rPr>
      </w:pPr>
    </w:p>
    <w:sectPr w:rsidR="00AE4A14" w:rsidRPr="002A447B" w:rsidSect="002A3D73">
      <w:pgSz w:w="23811" w:h="16838" w:orient="landscape" w:code="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B"/>
    <w:multiLevelType w:val="hybridMultilevel"/>
    <w:tmpl w:val="0000001B"/>
    <w:lvl w:ilvl="0" w:tplc="CDB4FA4E">
      <w:start w:val="1"/>
      <w:numFmt w:val="bullet"/>
      <w:lvlText w:val=""/>
      <w:lvlJc w:val="left"/>
      <w:pPr>
        <w:ind w:left="720" w:hanging="360"/>
      </w:pPr>
      <w:rPr>
        <w:rFonts w:ascii="Symbol" w:hAnsi="Symbol"/>
      </w:rPr>
    </w:lvl>
    <w:lvl w:ilvl="1" w:tplc="31AC0DAE">
      <w:start w:val="1"/>
      <w:numFmt w:val="bullet"/>
      <w:lvlText w:val="o"/>
      <w:lvlJc w:val="left"/>
      <w:pPr>
        <w:ind w:left="1440" w:hanging="360"/>
      </w:pPr>
      <w:rPr>
        <w:rFonts w:ascii="Courier New" w:hAnsi="Courier New"/>
      </w:rPr>
    </w:lvl>
    <w:lvl w:ilvl="2" w:tplc="427276FE">
      <w:start w:val="1"/>
      <w:numFmt w:val="bullet"/>
      <w:lvlText w:val=""/>
      <w:lvlJc w:val="left"/>
      <w:pPr>
        <w:tabs>
          <w:tab w:val="num" w:pos="2160"/>
        </w:tabs>
        <w:ind w:left="2160" w:hanging="360"/>
      </w:pPr>
      <w:rPr>
        <w:rFonts w:ascii="Wingdings" w:hAnsi="Wingdings"/>
      </w:rPr>
    </w:lvl>
    <w:lvl w:ilvl="3" w:tplc="587CF9C8">
      <w:start w:val="1"/>
      <w:numFmt w:val="bullet"/>
      <w:lvlText w:val=""/>
      <w:lvlJc w:val="left"/>
      <w:pPr>
        <w:tabs>
          <w:tab w:val="num" w:pos="2880"/>
        </w:tabs>
        <w:ind w:left="2880" w:hanging="360"/>
      </w:pPr>
      <w:rPr>
        <w:rFonts w:ascii="Symbol" w:hAnsi="Symbol"/>
      </w:rPr>
    </w:lvl>
    <w:lvl w:ilvl="4" w:tplc="200A8A0A">
      <w:start w:val="1"/>
      <w:numFmt w:val="bullet"/>
      <w:lvlText w:val="o"/>
      <w:lvlJc w:val="left"/>
      <w:pPr>
        <w:tabs>
          <w:tab w:val="num" w:pos="3600"/>
        </w:tabs>
        <w:ind w:left="3600" w:hanging="360"/>
      </w:pPr>
      <w:rPr>
        <w:rFonts w:ascii="Courier New" w:hAnsi="Courier New"/>
      </w:rPr>
    </w:lvl>
    <w:lvl w:ilvl="5" w:tplc="0BBA33B6">
      <w:start w:val="1"/>
      <w:numFmt w:val="bullet"/>
      <w:lvlText w:val=""/>
      <w:lvlJc w:val="left"/>
      <w:pPr>
        <w:tabs>
          <w:tab w:val="num" w:pos="4320"/>
        </w:tabs>
        <w:ind w:left="4320" w:hanging="360"/>
      </w:pPr>
      <w:rPr>
        <w:rFonts w:ascii="Wingdings" w:hAnsi="Wingdings"/>
      </w:rPr>
    </w:lvl>
    <w:lvl w:ilvl="6" w:tplc="2CB455B4">
      <w:start w:val="1"/>
      <w:numFmt w:val="bullet"/>
      <w:lvlText w:val=""/>
      <w:lvlJc w:val="left"/>
      <w:pPr>
        <w:tabs>
          <w:tab w:val="num" w:pos="5040"/>
        </w:tabs>
        <w:ind w:left="5040" w:hanging="360"/>
      </w:pPr>
      <w:rPr>
        <w:rFonts w:ascii="Symbol" w:hAnsi="Symbol"/>
      </w:rPr>
    </w:lvl>
    <w:lvl w:ilvl="7" w:tplc="3716D886">
      <w:start w:val="1"/>
      <w:numFmt w:val="bullet"/>
      <w:lvlText w:val="o"/>
      <w:lvlJc w:val="left"/>
      <w:pPr>
        <w:tabs>
          <w:tab w:val="num" w:pos="5760"/>
        </w:tabs>
        <w:ind w:left="5760" w:hanging="360"/>
      </w:pPr>
      <w:rPr>
        <w:rFonts w:ascii="Courier New" w:hAnsi="Courier New"/>
      </w:rPr>
    </w:lvl>
    <w:lvl w:ilvl="8" w:tplc="4A1EE356">
      <w:start w:val="1"/>
      <w:numFmt w:val="bullet"/>
      <w:lvlText w:val=""/>
      <w:lvlJc w:val="left"/>
      <w:pPr>
        <w:tabs>
          <w:tab w:val="num" w:pos="6480"/>
        </w:tabs>
        <w:ind w:left="6480" w:hanging="360"/>
      </w:pPr>
      <w:rPr>
        <w:rFonts w:ascii="Wingdings" w:hAnsi="Wingdings"/>
      </w:rPr>
    </w:lvl>
  </w:abstractNum>
  <w:abstractNum w:abstractNumId="1" w15:restartNumberingAfterBreak="0">
    <w:nsid w:val="00000034"/>
    <w:multiLevelType w:val="hybridMultilevel"/>
    <w:tmpl w:val="00000034"/>
    <w:lvl w:ilvl="0" w:tplc="C68466AE">
      <w:start w:val="1"/>
      <w:numFmt w:val="bullet"/>
      <w:lvlText w:val=""/>
      <w:lvlJc w:val="left"/>
      <w:pPr>
        <w:ind w:left="720" w:hanging="360"/>
      </w:pPr>
      <w:rPr>
        <w:rFonts w:ascii="Symbol" w:hAnsi="Symbol"/>
      </w:rPr>
    </w:lvl>
    <w:lvl w:ilvl="1" w:tplc="AA621C6E">
      <w:start w:val="1"/>
      <w:numFmt w:val="bullet"/>
      <w:lvlText w:val="o"/>
      <w:lvlJc w:val="left"/>
      <w:pPr>
        <w:tabs>
          <w:tab w:val="num" w:pos="1440"/>
        </w:tabs>
        <w:ind w:left="1440" w:hanging="360"/>
      </w:pPr>
      <w:rPr>
        <w:rFonts w:ascii="Courier New" w:hAnsi="Courier New"/>
      </w:rPr>
    </w:lvl>
    <w:lvl w:ilvl="2" w:tplc="32BEF4E2">
      <w:start w:val="1"/>
      <w:numFmt w:val="bullet"/>
      <w:lvlText w:val=""/>
      <w:lvlJc w:val="left"/>
      <w:pPr>
        <w:tabs>
          <w:tab w:val="num" w:pos="2160"/>
        </w:tabs>
        <w:ind w:left="2160" w:hanging="360"/>
      </w:pPr>
      <w:rPr>
        <w:rFonts w:ascii="Wingdings" w:hAnsi="Wingdings"/>
      </w:rPr>
    </w:lvl>
    <w:lvl w:ilvl="3" w:tplc="1BF2684A">
      <w:start w:val="1"/>
      <w:numFmt w:val="bullet"/>
      <w:lvlText w:val=""/>
      <w:lvlJc w:val="left"/>
      <w:pPr>
        <w:tabs>
          <w:tab w:val="num" w:pos="2880"/>
        </w:tabs>
        <w:ind w:left="2880" w:hanging="360"/>
      </w:pPr>
      <w:rPr>
        <w:rFonts w:ascii="Symbol" w:hAnsi="Symbol"/>
      </w:rPr>
    </w:lvl>
    <w:lvl w:ilvl="4" w:tplc="7514197A">
      <w:start w:val="1"/>
      <w:numFmt w:val="bullet"/>
      <w:lvlText w:val="o"/>
      <w:lvlJc w:val="left"/>
      <w:pPr>
        <w:tabs>
          <w:tab w:val="num" w:pos="3600"/>
        </w:tabs>
        <w:ind w:left="3600" w:hanging="360"/>
      </w:pPr>
      <w:rPr>
        <w:rFonts w:ascii="Courier New" w:hAnsi="Courier New"/>
      </w:rPr>
    </w:lvl>
    <w:lvl w:ilvl="5" w:tplc="A7D2A088">
      <w:start w:val="1"/>
      <w:numFmt w:val="bullet"/>
      <w:lvlText w:val=""/>
      <w:lvlJc w:val="left"/>
      <w:pPr>
        <w:tabs>
          <w:tab w:val="num" w:pos="4320"/>
        </w:tabs>
        <w:ind w:left="4320" w:hanging="360"/>
      </w:pPr>
      <w:rPr>
        <w:rFonts w:ascii="Wingdings" w:hAnsi="Wingdings"/>
      </w:rPr>
    </w:lvl>
    <w:lvl w:ilvl="6" w:tplc="F5EC1E92">
      <w:start w:val="1"/>
      <w:numFmt w:val="bullet"/>
      <w:lvlText w:val=""/>
      <w:lvlJc w:val="left"/>
      <w:pPr>
        <w:tabs>
          <w:tab w:val="num" w:pos="5040"/>
        </w:tabs>
        <w:ind w:left="5040" w:hanging="360"/>
      </w:pPr>
      <w:rPr>
        <w:rFonts w:ascii="Symbol" w:hAnsi="Symbol"/>
      </w:rPr>
    </w:lvl>
    <w:lvl w:ilvl="7" w:tplc="2FFE79BA">
      <w:start w:val="1"/>
      <w:numFmt w:val="bullet"/>
      <w:lvlText w:val="o"/>
      <w:lvlJc w:val="left"/>
      <w:pPr>
        <w:tabs>
          <w:tab w:val="num" w:pos="5760"/>
        </w:tabs>
        <w:ind w:left="5760" w:hanging="360"/>
      </w:pPr>
      <w:rPr>
        <w:rFonts w:ascii="Courier New" w:hAnsi="Courier New"/>
      </w:rPr>
    </w:lvl>
    <w:lvl w:ilvl="8" w:tplc="617AF03C">
      <w:start w:val="1"/>
      <w:numFmt w:val="bullet"/>
      <w:lvlText w:val=""/>
      <w:lvlJc w:val="left"/>
      <w:pPr>
        <w:tabs>
          <w:tab w:val="num" w:pos="6480"/>
        </w:tabs>
        <w:ind w:left="6480" w:hanging="360"/>
      </w:pPr>
      <w:rPr>
        <w:rFonts w:ascii="Wingdings" w:hAnsi="Wingdings"/>
      </w:rPr>
    </w:lvl>
  </w:abstractNum>
  <w:abstractNum w:abstractNumId="2" w15:restartNumberingAfterBreak="0">
    <w:nsid w:val="12BB3483"/>
    <w:multiLevelType w:val="hybridMultilevel"/>
    <w:tmpl w:val="9FB0D336"/>
    <w:lvl w:ilvl="0" w:tplc="5202768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6B1C5E"/>
    <w:multiLevelType w:val="hybridMultilevel"/>
    <w:tmpl w:val="00FAD09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BDC7286"/>
    <w:multiLevelType w:val="hybridMultilevel"/>
    <w:tmpl w:val="B6DE11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EC0AC4"/>
    <w:multiLevelType w:val="hybridMultilevel"/>
    <w:tmpl w:val="4DAE67A0"/>
    <w:lvl w:ilvl="0" w:tplc="5202768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917138"/>
    <w:multiLevelType w:val="hybridMultilevel"/>
    <w:tmpl w:val="FC4C78C2"/>
    <w:lvl w:ilvl="0" w:tplc="5202768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858EB"/>
    <w:multiLevelType w:val="hybridMultilevel"/>
    <w:tmpl w:val="BB1241CC"/>
    <w:lvl w:ilvl="0" w:tplc="520276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D76CEC"/>
    <w:multiLevelType w:val="hybridMultilevel"/>
    <w:tmpl w:val="0AD83DD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D55346E"/>
    <w:multiLevelType w:val="hybridMultilevel"/>
    <w:tmpl w:val="2E60A0C4"/>
    <w:lvl w:ilvl="0" w:tplc="5202768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49A139B"/>
    <w:multiLevelType w:val="hybridMultilevel"/>
    <w:tmpl w:val="B2AE586E"/>
    <w:lvl w:ilvl="0" w:tplc="5202768A">
      <w:start w:val="1"/>
      <w:numFmt w:val="bullet"/>
      <w:lvlText w:val=""/>
      <w:lvlJc w:val="left"/>
      <w:pPr>
        <w:ind w:left="720" w:hanging="360"/>
      </w:pPr>
      <w:rPr>
        <w:rFonts w:ascii="Symbol" w:hAnsi="Symbol" w:hint="default"/>
      </w:rPr>
    </w:lvl>
    <w:lvl w:ilvl="1" w:tplc="D13A352A">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E6313D"/>
    <w:multiLevelType w:val="hybridMultilevel"/>
    <w:tmpl w:val="D0FA93A0"/>
    <w:lvl w:ilvl="0" w:tplc="520276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8746000">
    <w:abstractNumId w:val="7"/>
  </w:num>
  <w:num w:numId="2" w16cid:durableId="355160483">
    <w:abstractNumId w:val="9"/>
  </w:num>
  <w:num w:numId="3" w16cid:durableId="1633360211">
    <w:abstractNumId w:val="5"/>
  </w:num>
  <w:num w:numId="4" w16cid:durableId="492843149">
    <w:abstractNumId w:val="2"/>
  </w:num>
  <w:num w:numId="5" w16cid:durableId="2123306438">
    <w:abstractNumId w:val="10"/>
  </w:num>
  <w:num w:numId="6" w16cid:durableId="471797684">
    <w:abstractNumId w:val="11"/>
  </w:num>
  <w:num w:numId="7" w16cid:durableId="2022587135">
    <w:abstractNumId w:val="6"/>
  </w:num>
  <w:num w:numId="8" w16cid:durableId="734665920">
    <w:abstractNumId w:val="3"/>
  </w:num>
  <w:num w:numId="9" w16cid:durableId="1033653987">
    <w:abstractNumId w:val="4"/>
  </w:num>
  <w:num w:numId="10" w16cid:durableId="1095320022">
    <w:abstractNumId w:val="0"/>
  </w:num>
  <w:num w:numId="11" w16cid:durableId="1088772134">
    <w:abstractNumId w:val="8"/>
  </w:num>
  <w:num w:numId="12" w16cid:durableId="412359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C91"/>
    <w:rsid w:val="00014EAB"/>
    <w:rsid w:val="000709B0"/>
    <w:rsid w:val="000838A4"/>
    <w:rsid w:val="000B0B77"/>
    <w:rsid w:val="00152B76"/>
    <w:rsid w:val="001A0576"/>
    <w:rsid w:val="001E136A"/>
    <w:rsid w:val="001F03C4"/>
    <w:rsid w:val="00203831"/>
    <w:rsid w:val="00232A44"/>
    <w:rsid w:val="00233D78"/>
    <w:rsid w:val="00236D61"/>
    <w:rsid w:val="002479E5"/>
    <w:rsid w:val="002533D8"/>
    <w:rsid w:val="00265FF5"/>
    <w:rsid w:val="00273C7F"/>
    <w:rsid w:val="00283AA9"/>
    <w:rsid w:val="002940DA"/>
    <w:rsid w:val="002A3D73"/>
    <w:rsid w:val="002A447B"/>
    <w:rsid w:val="002F076E"/>
    <w:rsid w:val="00317F6D"/>
    <w:rsid w:val="00324FDC"/>
    <w:rsid w:val="00326679"/>
    <w:rsid w:val="00342AC4"/>
    <w:rsid w:val="00361112"/>
    <w:rsid w:val="00380554"/>
    <w:rsid w:val="003900E5"/>
    <w:rsid w:val="003B3DAF"/>
    <w:rsid w:val="003D2817"/>
    <w:rsid w:val="003F0669"/>
    <w:rsid w:val="00407CE9"/>
    <w:rsid w:val="004A0453"/>
    <w:rsid w:val="004B2787"/>
    <w:rsid w:val="004D40AB"/>
    <w:rsid w:val="0053421B"/>
    <w:rsid w:val="00547597"/>
    <w:rsid w:val="005A0B5A"/>
    <w:rsid w:val="005C769A"/>
    <w:rsid w:val="005D3497"/>
    <w:rsid w:val="005D5B77"/>
    <w:rsid w:val="005F3FF4"/>
    <w:rsid w:val="0060704B"/>
    <w:rsid w:val="00634BA2"/>
    <w:rsid w:val="00663099"/>
    <w:rsid w:val="0066722B"/>
    <w:rsid w:val="00677828"/>
    <w:rsid w:val="00680219"/>
    <w:rsid w:val="006F67BA"/>
    <w:rsid w:val="007017DA"/>
    <w:rsid w:val="007560CD"/>
    <w:rsid w:val="007A5096"/>
    <w:rsid w:val="007C1515"/>
    <w:rsid w:val="007D5C91"/>
    <w:rsid w:val="007E0654"/>
    <w:rsid w:val="00831E9F"/>
    <w:rsid w:val="00857BCB"/>
    <w:rsid w:val="0086572E"/>
    <w:rsid w:val="0086629E"/>
    <w:rsid w:val="008C157F"/>
    <w:rsid w:val="008D44AC"/>
    <w:rsid w:val="009028A3"/>
    <w:rsid w:val="009301F8"/>
    <w:rsid w:val="009371D5"/>
    <w:rsid w:val="00953803"/>
    <w:rsid w:val="009603CF"/>
    <w:rsid w:val="00975F0A"/>
    <w:rsid w:val="009A294B"/>
    <w:rsid w:val="009B49DC"/>
    <w:rsid w:val="009C4959"/>
    <w:rsid w:val="009F3052"/>
    <w:rsid w:val="00A0497E"/>
    <w:rsid w:val="00A069C6"/>
    <w:rsid w:val="00A069F5"/>
    <w:rsid w:val="00A374D4"/>
    <w:rsid w:val="00A53BEC"/>
    <w:rsid w:val="00AE4A14"/>
    <w:rsid w:val="00B2205F"/>
    <w:rsid w:val="00B92E2E"/>
    <w:rsid w:val="00C05D39"/>
    <w:rsid w:val="00C30C02"/>
    <w:rsid w:val="00C53666"/>
    <w:rsid w:val="00C767E7"/>
    <w:rsid w:val="00CE44B3"/>
    <w:rsid w:val="00D251BB"/>
    <w:rsid w:val="00D32AEB"/>
    <w:rsid w:val="00D36627"/>
    <w:rsid w:val="00D512EF"/>
    <w:rsid w:val="00DA09A0"/>
    <w:rsid w:val="00DC7B5E"/>
    <w:rsid w:val="00DD1432"/>
    <w:rsid w:val="00DD29BC"/>
    <w:rsid w:val="00DD71C8"/>
    <w:rsid w:val="00E04905"/>
    <w:rsid w:val="00E0585F"/>
    <w:rsid w:val="00E073E7"/>
    <w:rsid w:val="00E26FC9"/>
    <w:rsid w:val="00E61F87"/>
    <w:rsid w:val="00E63CD1"/>
    <w:rsid w:val="00E8460E"/>
    <w:rsid w:val="00EB2DB4"/>
    <w:rsid w:val="00EF0A10"/>
    <w:rsid w:val="00F02FB5"/>
    <w:rsid w:val="00F179A5"/>
    <w:rsid w:val="00F342AF"/>
    <w:rsid w:val="00F535C1"/>
    <w:rsid w:val="00F65AEF"/>
    <w:rsid w:val="00F95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0D46A"/>
  <w15:chartTrackingRefBased/>
  <w15:docId w15:val="{E962157C-BE20-492D-8862-2B4DFB61D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5C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FDC"/>
    <w:pPr>
      <w:ind w:left="720"/>
      <w:contextualSpacing/>
    </w:pPr>
  </w:style>
  <w:style w:type="character" w:styleId="Hyperlink">
    <w:name w:val="Hyperlink"/>
    <w:basedOn w:val="DefaultParagraphFont"/>
    <w:uiPriority w:val="99"/>
    <w:unhideWhenUsed/>
    <w:rsid w:val="001F03C4"/>
    <w:rPr>
      <w:color w:val="0563C1" w:themeColor="hyperlink"/>
      <w:u w:val="single"/>
    </w:rPr>
  </w:style>
  <w:style w:type="character" w:styleId="FollowedHyperlink">
    <w:name w:val="FollowedHyperlink"/>
    <w:basedOn w:val="DefaultParagraphFont"/>
    <w:uiPriority w:val="99"/>
    <w:semiHidden/>
    <w:unhideWhenUsed/>
    <w:rsid w:val="001F03C4"/>
    <w:rPr>
      <w:color w:val="954F72" w:themeColor="followedHyperlink"/>
      <w:u w:val="single"/>
    </w:rPr>
  </w:style>
  <w:style w:type="paragraph" w:customStyle="1" w:styleId="P68B1DB1-Normal2">
    <w:name w:val="P68B1DB1-Normal2"/>
    <w:basedOn w:val="Normal"/>
    <w:rsid w:val="00547597"/>
    <w:pPr>
      <w:widowControl w:val="0"/>
      <w:autoSpaceDE w:val="0"/>
      <w:autoSpaceDN w:val="0"/>
      <w:spacing w:after="0" w:line="240" w:lineRule="auto"/>
    </w:pPr>
    <w:rPr>
      <w:rFonts w:eastAsia="Times New Roman" w:cstheme="minorHAnsi"/>
      <w:szCs w:val="20"/>
      <w:lang w:val="en"/>
    </w:rPr>
  </w:style>
  <w:style w:type="paragraph" w:customStyle="1" w:styleId="P68B1DB1-Normal9">
    <w:name w:val="P68B1DB1-Normal9"/>
    <w:basedOn w:val="Normal"/>
    <w:rsid w:val="00547597"/>
    <w:pPr>
      <w:widowControl w:val="0"/>
      <w:autoSpaceDE w:val="0"/>
      <w:autoSpaceDN w:val="0"/>
      <w:spacing w:after="0" w:line="240" w:lineRule="auto"/>
    </w:pPr>
    <w:rPr>
      <w:rFonts w:eastAsia="Calibri" w:cstheme="minorHAnsi"/>
      <w:szCs w:val="20"/>
      <w:lang w:val="en"/>
    </w:rPr>
  </w:style>
  <w:style w:type="character" w:styleId="CommentReference">
    <w:name w:val="annotation reference"/>
    <w:basedOn w:val="DefaultParagraphFont"/>
    <w:uiPriority w:val="99"/>
    <w:semiHidden/>
    <w:unhideWhenUsed/>
    <w:rsid w:val="00547597"/>
    <w:rPr>
      <w:sz w:val="16"/>
      <w:szCs w:val="16"/>
    </w:rPr>
  </w:style>
  <w:style w:type="paragraph" w:styleId="CommentText">
    <w:name w:val="annotation text"/>
    <w:basedOn w:val="Normal"/>
    <w:link w:val="CommentTextChar"/>
    <w:uiPriority w:val="99"/>
    <w:semiHidden/>
    <w:unhideWhenUsed/>
    <w:rsid w:val="00547597"/>
    <w:pPr>
      <w:widowControl w:val="0"/>
      <w:autoSpaceDE w:val="0"/>
      <w:autoSpaceDN w:val="0"/>
      <w:spacing w:after="0" w:line="240" w:lineRule="auto"/>
    </w:pPr>
    <w:rPr>
      <w:rFonts w:ascii="Times New Roman" w:eastAsia="Times New Roman" w:hAnsi="Times New Roman" w:cs="Times New Roman"/>
      <w:sz w:val="20"/>
      <w:szCs w:val="20"/>
      <w:lang w:val="en"/>
    </w:rPr>
  </w:style>
  <w:style w:type="character" w:customStyle="1" w:styleId="CommentTextChar">
    <w:name w:val="Comment Text Char"/>
    <w:basedOn w:val="DefaultParagraphFont"/>
    <w:link w:val="CommentText"/>
    <w:uiPriority w:val="99"/>
    <w:semiHidden/>
    <w:rsid w:val="00547597"/>
    <w:rPr>
      <w:rFonts w:ascii="Times New Roman" w:eastAsia="Times New Roman" w:hAnsi="Times New Roman" w:cs="Times New Roman"/>
      <w:sz w:val="20"/>
      <w:szCs w:val="20"/>
      <w:lang w:val="en"/>
    </w:rPr>
  </w:style>
  <w:style w:type="paragraph" w:styleId="BalloonText">
    <w:name w:val="Balloon Text"/>
    <w:basedOn w:val="Normal"/>
    <w:link w:val="BalloonTextChar"/>
    <w:uiPriority w:val="99"/>
    <w:semiHidden/>
    <w:unhideWhenUsed/>
    <w:rsid w:val="005475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7597"/>
    <w:rPr>
      <w:rFonts w:ascii="Segoe UI" w:hAnsi="Segoe UI" w:cs="Segoe UI"/>
      <w:sz w:val="18"/>
      <w:szCs w:val="18"/>
      <w:lang w:val="ro-RO"/>
    </w:rPr>
  </w:style>
  <w:style w:type="character" w:styleId="PlaceholderText">
    <w:name w:val="Placeholder Text"/>
    <w:basedOn w:val="DefaultParagraphFont"/>
    <w:uiPriority w:val="99"/>
    <w:semiHidden/>
    <w:rsid w:val="00C05D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screen/opportunities/topic-details/horizon-miss-2022-cancer-01-04;callCode=HORIZON-MISS-2022-CANCER-01;freeTextSearchKeyword=;matchWholeText=true;typeCodes=1;statusCodes=31094501,31094502,31094503;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 TargetMode="External"/><Relationship Id="rId3" Type="http://schemas.openxmlformats.org/officeDocument/2006/relationships/settings" Target="settings.xml"/><Relationship Id="rId7" Type="http://schemas.openxmlformats.org/officeDocument/2006/relationships/hyperlink" Target="https://ec.europa.eu/info/funding-tenders/opportunities/portal/screen/opportunities/topic-details/horizon-miss-2022-cancer-01-03;callCode=HORIZON-MISS-2022-CANCER-01;freeTextSearchKeyword=;matchWholeText=true;typeCodes=1;statusCodes=31094501,31094502,31094503;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europa.eu/info/funding-tenders/opportunities/portal/screen/opportunities/topic-details/horizon-miss-2022-cancer-01-02;callCode=HORIZON-MISS-2022-CANCER-01;freeTextSearchKeyword=;matchWholeText=true;typeCodes=1;statusCodes=31094501,31094502,31094503;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 TargetMode="External"/><Relationship Id="rId11" Type="http://schemas.openxmlformats.org/officeDocument/2006/relationships/fontTable" Target="fontTable.xml"/><Relationship Id="rId5" Type="http://schemas.openxmlformats.org/officeDocument/2006/relationships/hyperlink" Target="https://ec.europa.eu/info/funding-tenders/opportunities/portal/screen/opportunities/topic-details/horizon-miss-2022-cancer-01-01;callCode=HORIZON-MISS-2022-CANCER-01;freeTextSearchKeyword=;matchWholeText=true;typeCodes=1;statusCodes=31094501,31094502,31094503;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 TargetMode="External"/><Relationship Id="rId10" Type="http://schemas.openxmlformats.org/officeDocument/2006/relationships/hyperlink" Target="https://gov.ro/fisiere/stiri_fisiere/Annex_to_the__Proposal_for_a_Council_Implementig_Decision.pdf" TargetMode="External"/><Relationship Id="rId4" Type="http://schemas.openxmlformats.org/officeDocument/2006/relationships/webSettings" Target="webSettings.xml"/><Relationship Id="rId9" Type="http://schemas.openxmlformats.org/officeDocument/2006/relationships/hyperlink" Target="https://ec.europa.eu/info/funding-tenders/opportunities/portal/screen/opportunities/topic-details/horizon-miss-2022-cancer-01-05;callCode=HORIZON-MISS-2022-CANCER-01;freeTextSearchKeyword=;matchWholeText=true;typeCodes=1;statusCodes=31094501,31094502,31094503;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2120</Words>
  <Characters>12301</Characters>
  <Application>Microsoft Office Word</Application>
  <DocSecurity>0</DocSecurity>
  <Lines>102</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Iuliana MIHALCEA</dc:creator>
  <cp:keywords/>
  <dc:description/>
  <cp:lastModifiedBy>Mariana Acatrinei</cp:lastModifiedBy>
  <cp:revision>4</cp:revision>
  <dcterms:created xsi:type="dcterms:W3CDTF">2022-06-29T13:38:00Z</dcterms:created>
  <dcterms:modified xsi:type="dcterms:W3CDTF">2022-11-04T08:26:00Z</dcterms:modified>
  <cp:category/>
</cp:coreProperties>
</file>