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ORDIN  Nr. 4013/5316/2023 din 23 octombrie 2023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privind aprobarea Instrucţiunilor de aplicare a prevederilor art. 9 alin. (1) şi (2) din Hotărârea Guvernului nr. 873/2022 pentru stabilirea cadrului legal privind eligibilitatea cheltuielilor efectuate de beneficiari în cadrul operaţiunilor finanţate în perioada de programare 2021 - 2027 prin Fondul european de dezvoltare regională, Fondul social european Plus, Fondul de coeziune şi Fondul pentru o tranziţie justă</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EMITENT:     MINISTERUL INVESTIŢIILOR ŞI PROIECTELOR EUROPENE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Nr. 4.013 din 23 octombrie 2023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MINISTERUL FINANŢELOR</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Nr. 5.316 din 27 noiembrie 2023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PUBLICAT ÎN: MONITORUL OFICIAL  NR. 1137 din 15 decembrie 2023</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În conformitate cu prevederile art. 9 alin. (3) din Hotărârea Guvernului nr. 873/2022 pentru stabilirea cadrului legal privind eligibilitatea cheltuielilor efectuate de beneficiari în cadrul operaţiunilor finanţate în perioada de programare 2021 - 2027 prin Fondul european de dezvoltare regională, Fondul social european Plus, Fondul de coeziune şi Fondul pentru o tranziţie justă,</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în temeiul art. 14 alin. (5) din Hotărârea Guvernului nr. 52/2018 privind organizarea şi funcţionarea Ministerului Investiţiilor şi Proiectelor Europene, cu modificările şi completările ulterioare, şi al art. 10 alin. (4) din Hotărârea Guvernului nr. 34/2009 privind organizarea şi funcţionarea Ministerului Finanţelor, cu modificările şi completările ulterioare,</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ministrul investiţiilor şi proiectelor europene şi ministrul finanţelor emit prezentul ordin.</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1</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Se aprobă Instrucţiunile de aplicare a prevederilor art. 9 alin. (1) şi (2) din Hotărârea Guvernului nr. 873/2022 pentru stabilirea cadrului legal privind eligibilitatea cheltuielilor efectuate de beneficiari în cadrul operaţiunilor finanţate în perioada de programare 2021 - 2027 prin Fondul european de dezvoltare regională, Fondul social european Plus, Fondul de coeziune şi Fondul pentru o tranziţie justă, prevăzute în anexa care face parte integrantă din prezentul ordin.</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2</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(1) Referirile la Codul fiscal din cuprinsul anexei reprezintă trimiteri la Legea nr. 227/2015 privind Codul fiscal, cu modificările şi completările ulterioare.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(2) Referirile la Codul de procedură fiscală din cuprinsul anexei reprezintă trimiteri la Legea nr. 207/2015 privind Codul de procedură fiscală, cu modificările şi completările ulterioare.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(3) Referirile la Regulamentul (UE) 2021/1.060 din cuprinsul anexei reprezintă trimiteri la Regulamentul (UE) 2021/1.060 al Parlamentului European şi al Consiliului din 24 iunie 2021 de stabilire a dispoziţiilor comune privind Fondul european de dezvoltare regională, Fondul social european Plus, Fondul de coeziune, Fondul pentru o tranziţie justă şi Fondul european pentru afaceri maritime, pescuit şi acvacultură şi de stabilire a normelor financiare aplicabile acestor fonduri, precum şi Fondului pentru azil, migraţie şi integrare, Fondului pentru securitate internă şi Instrumentului de sprijin financiar pentru managementul frontierelor şi politica de vize, cu modificările şi completările ulterioare.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Prezentul ordin se publică în Monitorul Oficial al României, Partea I, şi se aplică operaţiunilor finanţate în perioada de programare 2021 - 2027 prin Fondul european de dezvoltare regională, Fondul social european Plus, Fondul de coeziune şi Fondul pentru o tranziţie justă.</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4</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Autorităţile de management/Organismele intermediare ale programelor finanţate în perioada de programare 2021 - 2027 prin Fondul european de dezvoltare regională, Fondul social european Plus, Fondul de coeziune şi Fondul pentru o tranziţie justă, Direcţia coordonare SMIS şi IT din cadrul Ministerului Investiţiilor şi Proiectelor Europene, precum şi Direcţia Generală de Administrare a Marilor Contribuabili şi direcţiile generale regionale ale finanţelor publice şi unităţile subordonate acestora din cadrul Agenţiei Naţionale de Administrare Fiscală vor duce la îndeplinire prevederile prezentului ordin.</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Ministrul investiţiilor şi proiectelor europene,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Adrian Câciu</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p. Ministrul finanţelor,</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Alin Marius Andrieş,</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secretar de stat</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ANEXĂ</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INSTRUCŢIUNI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de aplicare a prevederilor art. 9 alin. (1) şi (2) din Hotărârea Guvernului nr. 873/2022 pentru stabilirea cadrului legal privind eligibilitatea cheltuielilor efectuate de beneficiari în cadrul operaţiunilor finanţate în perioada de programare 2021 - 2027 prin Fondul european de dezvoltare regională, Fondul social european Plus, Fondul de coeziune şi Fondul pentru o tranziţie justă</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CAPITOLUL 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Prevederi generale</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1</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Prezentele instrucţiuni se aplică beneficiarilor/partenerilor care solicită autorităţii de management rambursarea cheltuielilor cu taxa pe valoarea adăugată eligibilă aferentă cheltuielilor eligibile efectuate în cadrul proiectelor finanţate în perioada de programare 2021 - 2027 prin Fondul european de dezvoltare regională, Fondul social european Plus, Fondul de coeziune şi Fondul pentru o tranziţie justă, în condiţiile prevăzute de art. 9 alin. (3) din Hotărârea Guvernului nr. 873/2022 pentru stabilirea cadrului legal privind eligibilitatea cheltuielilor efectuate de beneficiari în cadrul operaţiunilor finanţate în perioada de programare 2021 - 2027 prin Fondul european de dezvoltare regională, Fondul social european Plus, Fondul de coeziune şi Fondul pentru o tranziţie justă.</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2</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(1) La depunerea cererii de finanţare, solicitantul are obligaţia de a depune "Declaraţia unică a solicitantului", conform art. 6 alin. (3) din Ordonanţa de urgenţă a Guvernului nr. 23/2023 privind instituirea unor măsuri de simplificare şi digitalizare pentru gestionarea fondurilor europene aferente Politicii de coeziune 2021 - 2027.</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(2) Solicitantul care declară în Bugetul sintetic al proiectului, prevăzut în anexa nr. 4 la Ordinul ministrului investiţiilor şi proiectelor europene nr. 1.777/2023 privind aprobarea conţinutului/modelului/formatului/structurii-cadru pentru documentele prevăzute la art. 4 alin. (1) teza întâi, art. 6 alin. (1) şi (3), art. 7 alin. (1) şi art. 17 alin. (2) din Ordonanţa de urgenţă a Guvernului nr. 23/2023 privind instituirea unor măsuri de simplificare şi digitalizare pentru gestionarea fondurilor europene aferente Politicii de coeziune 2021 - 2027, că taxa pe valoarea adăugată aferentă cheltuielilor ce vor fi efectuate în cadrul operaţiunii este eligibilă pentru a fi rambursată din fonduri europene are obligaţia confirmării prin declaraţia unică prevăzută la alin. (1) îndeplinirea cerinţei prevăzute la alin. (3).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(3) Autoritatea de management se va asigura, prin Ghidul solicitantului, că secţiunea C a Declaraţiei unice prevăzute în anexa nr. 3 la Ordinul ministrului investiţiilor şi proiectelor europene nr. 1.777/2023 este completată cu următoarea cerinţă:</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 TVA declarată în cadrul operaţiunii a fi eligibilă pentru finanţare din fonduri europene nu a fost şi nu va fi solicitată la rambursare conform legislaţiei naţionale în domeniul fiscal, pentru a respecta prevederile Regulamentului (UE, Euratom) 2018/1.046 al Parlamentului European şi al Consiliului din 18 iulie 2018 privind normele financiare aplicabile bugetului general al Uniunii, de modificare a Regulamentelor (UE) nr. 1.296/2013, (UE) nr. 1.301/2013, (UE) nr. 1.303/2013, (UE) nr. 1.304/2013, (UE) nr. 1.309/2013, (UE) nr. 1.316/2013, (UE) nr. 223/2014, (UE) nr. 283/2014 şi a Deciziei nr. 541/2014/UE </w:t>
      </w:r>
      <w:r w:rsidRPr="006A04C1">
        <w:rPr>
          <w:rFonts w:ascii="Times New Roman" w:hAnsi="Times New Roman" w:cs="Times New Roman"/>
          <w:sz w:val="22"/>
          <w:szCs w:val="22"/>
        </w:rPr>
        <w:lastRenderedPageBreak/>
        <w:t>şi de abrogare a Regulamentului (UE, Euratom) nr. 966/2012, cu modificările şi completările ulterioare, în ceea ce priveşte evitarea dublei finanţări."</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CAPITOLUL II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Depunerea declaraţiilor pentru operaţiunile al căror cost total este mai mic de 5.000.000 euro (inclusiv TVA) şi mecanismul de verificare a dublei finanţări</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(1) La depunerea cererii de rambursare/plată, pentru a evita dubla finanţare, beneficiarii/partenerii de finanţare din cadrul proiectelor finanţate în perioada de programare 2021 - 2027 prin Fondul european de dezvoltare regională, Fondul social european Plus, Fondul de coeziune şi Fondul pentru o tranziţie justă au obligaţia depunerii la autoritatea de management sau organismul intermediar, după caz, a unei declaraţii pe propria răspundere din care să rezulte că valoarea TVA aferente cheltuielilor corespunzătoare achiziţiilor de la furnizori, prestatori, antreprenori, cuprinse în cererea de rambursare/plată, nu a fost şi nu va fi solicitată la rambursare conform legislaţiei naţionale în domeniul fiscal, denumită "Declaraţie privind eligibilitatea TVA în cazul operaţiunilor al căror cost total este mai mic de 5.000.000 euro (inclusiv TVA)", al cărei model este prevăzut în anexa nr. 1.</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(2) Trimestrial, structura responsabilă din cadrul Ministerului Investiţiilor şi Proiectelor Europene (MIPE), respectiv Direcţia coordonare SMIS şi IT (DCSMISIT), va transmite Agenţiei Naţionale de Administrare Fiscală (ANAF), din sistemul informatic MySMIS2021/SMIS2021+, o situaţie centralizată cu valoarea TVA rambursată din bugetele programelor aferente perioadei de programare 2021 - 2027, aferentă achiziţiilor efectuate în cadrul operaţiunilor al căror cost total este mai mic de 5.000.000 euro (inclusiv TVA), al cărei model este prevăzut în anexa nr. 2.</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(3) Ulterior primirii situaţiei centralizate prevăzute la alin. (2), organele cu atribuţii de control din cadrul ANAF vor efectua verificări punctuale, în funcţie de riscul fiscal, şi vor aduce la cunoştinţă structurii din cadrul MIPE menţionate la alin. (2) cazurile în care beneficiarul/partenerul a solicitat deducerea TVA, prin completarea coloanei 10 din anexa nr. 2.</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(4) Pentru situaţiile identificate de ANAF în coloana 10 a anexei nr. 2, autoritatea de management aplică prevederile Ordonanţei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(5) Structura din cadrul MIPE menţionată la alin. (2) va disemina autorităţilor de management naţionale şi regionale informaţiile primite de la ANAF conform prevederilor alin. (3).</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CAPITOLUL III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Depunerea declaraţiilor pentru operaţiunile al căror cost total este mai mare de 5.000.000 euro (inclusiv TVA) şi mecanismul de verificare a nerecuperabilităţii taxei pe valoarea adăugată în temeiul legislaţiei naţionale privind TVA</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SECŢIUNEA 1</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Persoane neimpozabile</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4</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(1) În sensul prezentelor instrucţiuni, prin persoană neimpozabilă se înţelege beneficiarul/partenerul care nu figurează ca persoană înregistrată în scopuri de TVA în Registrul persoanelor impozabile înregistrate în scopuri de TVA publicat pe site-ul ANAF şi nici nu a avut calitatea de persoană înregistrată în scopuri de TVA conform art. 316 din Codul fiscal în întreaga perioadă cuprinsă între data emiterii facturilor înscrise în "Declaraţia privind eligibilitatea TVA aferente cheltuielilor efectuate în cadrul operaţiunii al cărei cost total este mai mare de 5.000.000 euro (inclusiv TVA)" şi data la care persoana impozabilă a depus cererea de rambursare/plată.</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lastRenderedPageBreak/>
        <w:t xml:space="preserve">    (2) La depunerea cererii de rambursare/plată, beneficiarii/partenerii de finanţare din cadrul proiectelor finanţate în perioada de programare 2021 - 2027 prin Fondul european de dezvoltare regională, Fondul social european Plus, Fondul de coeziune şi Fondul pentru o tranziţie justă, persoane neimpozabile în sensul prezentelor instrucţiuni, au obligaţia depunerii la autoritatea de management sau organismul intermediar, după caz, a unei declaraţii pe propria răspundere din care să rezulte caracterul nerecuperabil al taxei pe valoarea adăugată aferente cheltuielilor eligibile, cuprinse în cererea de rambursare/plată, denumită "Declaraţia privind eligibilitatea TVA aferente cheltuielilor efectuate în cadrul operaţiunii al cărei cost total este mai mare de 5.000.000 euro (inclusiv TVA)", al cărei model este prevăzut în anexa nr. 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(3) Autoritatea de management sau organismul intermediar, după caz, în contextul verificărilor prevăzute la art. 74 alin. (1) lit. a) din Regulamentul (UE) 2021/1.060, verifică pe baza datelor existente în Registrul persoanelor impozabile înregistrate în scop de TVA, registru disponibil pe site-ul ANAF, dacă beneficiarul/partenerul nu a avut calitatea de persoană înregistrată în scopuri de TVA.</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(4) În situaţia confirmării statutului de persoană neimpozabilă ca urmare a verificărilor de la alin. (3), autoritatea de management sau organismul intermediar, după caz, efectuează plata cheltuielilor cuprinse în cererea de rambursare/plată, inclusiv TVA, cu respectarea prevederilor Hotărârii Guvernului nr. 873/2022.</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SECŢIUNEA a 2-a</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Persoane impozabile</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5</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(1) În sensul prezentelor instrucţiuni, persoana impozabilă este beneficiarul/partenerul înregistrat în scopuri de TVA conform art. 316 din Codul fiscal sau care a avut calitatea de persoană înregistrată în scopuri de TVA conform art. 316 din Codul fiscal într-o perioadă cuprinsă între data emiterii facturilor înscrise în "Declaraţia privind eligibilitatea TVA aferente cheltuielilor efectuate în cadrul operaţiunii al cărei cost total este mai mare de 5.000.000 euro (inclusiv TVA)" şi data la care persoana impozabilă a depus cererea de rambursare/plată.</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(2) La depunerea cererii de rambursare/plată, beneficiarii/partenerii de finanţare din cadrul proiectelor finanţate în perioada de programare 2021 - 2027 prin Fondul european de dezvoltare regională, Fondul social european Plus, Fondul de coeziune şi Fondul pentru o tranziţie justă, persoane impozabile în sensul prezentelor instrucţiuni, au obligaţia depunerii la autoritatea de management sau organismul intermediar, după caz, a declaraţiei pe propria răspundere prevăzute la art. 4 alin. (2).</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(3) Autoritatea de management sau organismul intermediar, după caz, efectuează plata cheltuielilor cuprinse în cererea de rambursare/plată, inclusiv TVA aferentă, declarată, conform alin. (2), nedeductibilă conform legislaţiei naţionale în domeniul TVA şi eligibilă conform prevederilor art. 64 alin. (1) lit. c) din Regulamentul (UE) 2021/1.060, cu respectarea prevederilor Hotărârii Guvernului nr. 873/2022.</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(4) Trimestrial, în termen de 10 zile lucrătoare de la finalizarea trimestrului, autoritatea de management sau organismul intermediar, după caz, va transmite cu adresă de înaintare organului fiscal competent toate declaraţiile pe propria răspundere depuse de persoanele impozabile, beneficiari de finanţare nerambursabilă, cu operaţiuni al căror cost total este mai mare de 5.000.000 euro (inclusiv TVA), prevăzute la alin. (3).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(5) Ulterior primirii declaraţiilor şi situaţiei prevăzute la alin. (4), organele cu atribuţii de control fiscal din cadrul ANAF vor efectua verificări punctuale, în funcţie de riscul fiscal, şi vor aduce la cunoştinţă autorităţii de management sau organismului intermediar, după caz, menţionate la alin. (4), cazurile în care beneficiarul/partenerul a solicitat deducerea TVA, în termen de 15 zile lucrătoare de la data constatării.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(6) Pentru situaţiile identificate de ANAF în care beneficiarul/partenerul a solicitat deducerea TVA, autoritatea de management sau organismul intermediar, după caz, aplică prevederile Ordonanţei de urgenţă a Guvernului nr. 66/2011, aprobată cu modificări şi completări prin Legea nr. 142/2012, cu modificările şi completările ulterioare.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(7) În sensul prezentelor instrucţiuni, prin organ fiscal competent se înţelege organul fiscal competent potrivit Legii nr. 207/2015 privind Codul de procedură fiscală, cu modificările şi completările ulterioare.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6</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lastRenderedPageBreak/>
        <w:t xml:space="preserve">    Autoritatea de management asigură includerea anexelor nr. 1 şi 3 în ghidurile solicitantului pentru cererile de proiecte finanţate prin Fondul european de dezvoltare regională, Fondul social european Plus, Fondul de coeziune şi Fondul pentru o tranziţie justă în perioada de programare 2021 - 2027.</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ART. 7</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Anexele nr. 1 - 3 fac parte integrantă din prezentele instrucţiuni.</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ANEXA 1*)</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la instrucţiuni</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 Anexa nr. 1 la instrucţiuni este reprodusă în facsimil.</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DECLARAŢIE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privind eligibilitatea TVA în cazul operaţiunilor al căror cost total este mai mic de 5.000.000 euro (inclusiv TVA)</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 DATE DE IDENTIFICARE A PERSOANEI JURIDICE</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_____________________________________________________________________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Cod de identificare |_|_|_|_|_|_|_|_|_|_|_|_|_|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Denumire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Domiciliul fiscal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              ____________          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Judeţ |         | Localitate |            | Stradă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            |____________|        |______________|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              ________          ___           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Ap. |   | Cod poştal |        | Sector |   | Telefon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            |________|        |___|         |____________|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          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Fax |                           | E-mail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        |________________________|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|_____________________________________________________________________|</w:t>
      </w:r>
    </w:p>
    <w:p w:rsidR="006A04C1" w:rsidRPr="006A04C1" w:rsidRDefault="006A04C1" w:rsidP="006A04C1">
      <w:pPr>
        <w:jc w:val="both"/>
        <w:rPr>
          <w:rFonts w:ascii="Courier New" w:hAnsi="Courier New" w:cs="Courier New"/>
          <w:sz w:val="18"/>
          <w:szCs w:val="18"/>
        </w:rPr>
      </w:pP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B. DATE DE IDENTIFICARE A OPERAŢIUNII</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Titlul proiectului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Numele programului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Prioritate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Data depunerii operaţiunii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|_____________________________________________________________________|</w:t>
      </w:r>
    </w:p>
    <w:p w:rsidR="006A04C1" w:rsidRPr="006A04C1" w:rsidRDefault="006A04C1" w:rsidP="006A04C1">
      <w:pPr>
        <w:jc w:val="both"/>
        <w:rPr>
          <w:rFonts w:ascii="Courier New" w:hAnsi="Courier New" w:cs="Courier New"/>
          <w:sz w:val="18"/>
          <w:szCs w:val="18"/>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C. ................................ (numele reprezentantului/împuternicitului), în calitate de reprezentant/împuternicit al .......................... (numele şi statutul juridic al beneficiarului/partenerului), </w:t>
      </w:r>
      <w:r w:rsidRPr="006A04C1">
        <w:rPr>
          <w:rFonts w:ascii="Times New Roman" w:hAnsi="Times New Roman" w:cs="Times New Roman"/>
          <w:sz w:val="22"/>
          <w:szCs w:val="22"/>
        </w:rPr>
        <w:lastRenderedPageBreak/>
        <w:t>beneficiar de finanţare pentru operaţiunea menţionată mai sus, la ....................................... (numele autorităţii de management/organismului intermediar), sub sancţiunile aplicate faptei de fals în declaraţii, declar că, pentru achiziţiile cuprinse în cererea de rambursare/plată nr. ....../........., TVA aferentă nu a fost şi nu va fi solicitată la rambursare conform legislaţiei naţionale în domeniul fiscal.</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Numele şi prenumele*):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              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    Semnătura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Funcţia:               |            |             |____________|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 Se va completa de către reprezentantul legal al beneficiarului/partenerului sau o persoană abilitată să reprezinte beneficiarul.</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ANEXA 2</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la instrucţiuni</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SITUAŢIE CENTRALIZATĂ</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cu valoarea TVA rambursată din bugetele programelor aferente perioadei de programare 2021 - 2027, aferentă achiziţiilor efectuate în cadrul operaţiunilor al căror cost total este mai mic de 5.000.000 euro (inclusiv TVA)</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Semnificaţia coloanelor din tabelul de mai jos este următoarea:</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 - Nr. şi data documentului;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B - Denumirea furnizorului/prestatorului;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C - Codul de înregistrare în scopuri de TVA al furnizorului/prestatorului;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D - Valoarea;</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E - Din care valoarea TVA;</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F - Observaţii ANAF.</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__________________________________________________________________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|Nr. |Cod |Cererea de|Nume      |CUI       | A | B | C | D | E | F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|crt.|SMIS|rambursare|beneficiar|beneficiar|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|nr.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0 |  1 |     2    |     3    |     4    | 5 | 6 | 7 | 8 | 9 | 10|</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lastRenderedPageBreak/>
        <w:t>|____|____|__________|__________|__________|___|___|___|___|___|___|</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ANEXA 3*)</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la instrucţiuni</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 Anexa nr. 3 la instrucţiuni este reprodusă în facsimil.</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DECLARAŢIE</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privind eligibilitatea TVA aferente cheltuielilor efectuate în cadrul operaţiunii al căror cost total este mai mare de 5.000.000 euro (inclusiv TVA)</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A. DATE DE IDENTIFICARE A PERSOANEI JURIDICE</w:t>
      </w:r>
    </w:p>
    <w:p w:rsidR="006A04C1" w:rsidRPr="006A04C1" w:rsidRDefault="006A04C1" w:rsidP="006A04C1">
      <w:pPr>
        <w:jc w:val="both"/>
        <w:rPr>
          <w:rFonts w:ascii="Courier New" w:hAnsi="Courier New" w:cs="Courier New"/>
          <w:sz w:val="18"/>
          <w:szCs w:val="18"/>
        </w:rPr>
      </w:pPr>
      <w:r w:rsidRPr="006A04C1">
        <w:rPr>
          <w:rFonts w:ascii="Times New Roman" w:hAnsi="Times New Roman" w:cs="Times New Roman"/>
          <w:sz w:val="22"/>
          <w:szCs w:val="22"/>
        </w:rPr>
        <w:t xml:space="preserve"> _____________________________________________________________________                                                                    </w:t>
      </w: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Cod de identificare |_|_|_|_|_|_|_|_|_|_|_|_|_|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Denumire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Domiciliul fiscal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              ____________          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Judeţ |         | Localitate |            | Stradă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            |____________|        |______________|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              ________          ___           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Ap. |   | Cod poştal |        | Sector |   | Telefon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            |________|        |___|         |____________|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          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Fax |                           | E-mail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        |________________________|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|_____________________________________________________________________|</w:t>
      </w:r>
    </w:p>
    <w:p w:rsidR="006A04C1" w:rsidRPr="006A04C1" w:rsidRDefault="006A04C1" w:rsidP="006A04C1">
      <w:pPr>
        <w:jc w:val="both"/>
        <w:rPr>
          <w:rFonts w:ascii="Courier New" w:hAnsi="Courier New" w:cs="Courier New"/>
          <w:sz w:val="18"/>
          <w:szCs w:val="18"/>
        </w:rPr>
      </w:pP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B. DATE DE IDENTIFICARE A OPERAŢIUNII</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Titlul proiectului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Numele programului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Prioritate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Data depunerii operaţiunii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|_____________________________________|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|_____________________________________________________________________|</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C. ............................................. (numele şi statutul juridic al beneficiarului/partenerului), solicitant de finanţare pentru operaţiunea menţionată mai sus, la ......................................... (numele autorităţii de management/organismului intermediar), în conformitate cu prevederile Legii nr. 227/2015 privind Codul fiscal, cu modificările şi completările ulterioare, declar că mă încadrez în următoarea categorie de persoane din punctul de vedere al regimului de TVA aplicabil:</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lastRenderedPageBreak/>
        <w:t xml:space="preserve">    [ ] persoană neînregistrată în scopuri de TVA, conform art. 316 din Legea nr. 227/2015, cu modificările şi completările ulterioare, în întreaga perioadă cuprinsă între data emiterii facturilor înscrise în prezenta declaraţie şi data prezentei declaraţii.</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 ] persoană înregistrată în scopuri de TVA, conform art. 316 din Legea nr. 227/2015, cu modificările şi completările ulterioare, în anumite perioade sau pe întreaga perioadă cuprinsă între data emiterii facturilor înscrise în prezenta declaraţie şi data prezentei declaraţii.</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D. ........................................ (numele reprezentantului/împuternicitului), în calitate de reprezentant/împuternicit al ...................................... (numele şi statutul juridic al beneficiarului/partenerului), beneficiar de finanţare pentru operaţiunea menţionată mai sus, la ................................................... (numele autorităţii de management/organismului intermediar), sub sancţiunile aplicate faptei de fals în declaraţii, declar că pentru achiziţiile din cadrul operaţiunii, cuprinse în tabelul de mai jos, respectiv în cererea de rambursare/plată nr. ....../.............., TVA aferentă este nedeductibilă conform legislaţiei naţionale în domeniul TVA şi eligibilă respectând prevederile art. 64 alin. (1) lit. c) din Regulamentul (UE) 2021/1060.</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|Nr. |Nr. şi data |Denumirea      |Codul de       |Valoarea|Din care|</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|crt.|documentului|furnizorului/  |înregistrare   |        |valoarea|</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|prestatorului/ |în scopuri     |        |TVA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|antreprenorului|de TVA al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|furnizorului/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|prestatorului/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|antreprenorului|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            |               |               |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|____|____________|_______________|_______________|________|________|</w:t>
      </w:r>
    </w:p>
    <w:p w:rsidR="006A04C1" w:rsidRPr="006A04C1" w:rsidRDefault="006A04C1" w:rsidP="006A04C1">
      <w:pPr>
        <w:jc w:val="both"/>
        <w:rPr>
          <w:rFonts w:ascii="Courier New" w:hAnsi="Courier New" w:cs="Courier New"/>
          <w:sz w:val="18"/>
          <w:szCs w:val="18"/>
        </w:rPr>
      </w:pP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Numele şi prenumele*):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              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    Semnătura |            |</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Funcţia:               |            |             |____________|</w:t>
      </w:r>
    </w:p>
    <w:p w:rsidR="006A04C1" w:rsidRPr="006A04C1" w:rsidRDefault="006A04C1" w:rsidP="006A04C1">
      <w:pPr>
        <w:jc w:val="both"/>
        <w:rPr>
          <w:rFonts w:ascii="Courier New" w:hAnsi="Courier New" w:cs="Courier New"/>
          <w:sz w:val="18"/>
          <w:szCs w:val="18"/>
        </w:rPr>
      </w:pPr>
      <w:r w:rsidRPr="006A04C1">
        <w:rPr>
          <w:rFonts w:ascii="Courier New" w:hAnsi="Courier New" w:cs="Courier New"/>
          <w:sz w:val="18"/>
          <w:szCs w:val="18"/>
        </w:rPr>
        <w:t xml:space="preserve">                           |____________|</w:t>
      </w:r>
    </w:p>
    <w:p w:rsidR="006A04C1" w:rsidRPr="006A04C1" w:rsidRDefault="006A04C1" w:rsidP="006A04C1">
      <w:pPr>
        <w:jc w:val="both"/>
        <w:rPr>
          <w:rFonts w:ascii="Times New Roman" w:hAnsi="Times New Roman" w:cs="Times New Roman"/>
          <w:sz w:val="22"/>
          <w:szCs w:val="22"/>
        </w:rPr>
      </w:pP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w:t>
      </w:r>
    </w:p>
    <w:p w:rsidR="006A04C1"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 Se va completa de către reprezentantul legal al beneficiarului sau o persoană abilitată să reprezinte beneficiarul.</w:t>
      </w:r>
    </w:p>
    <w:p w:rsidR="006A04C1" w:rsidRPr="006A04C1" w:rsidRDefault="006A04C1" w:rsidP="006A04C1">
      <w:pPr>
        <w:jc w:val="both"/>
        <w:rPr>
          <w:rFonts w:ascii="Times New Roman" w:hAnsi="Times New Roman" w:cs="Times New Roman"/>
          <w:sz w:val="22"/>
          <w:szCs w:val="22"/>
        </w:rPr>
      </w:pPr>
    </w:p>
    <w:p w:rsidR="008762EA" w:rsidRPr="006A04C1" w:rsidRDefault="006A04C1" w:rsidP="006A04C1">
      <w:pPr>
        <w:jc w:val="both"/>
        <w:rPr>
          <w:rFonts w:ascii="Times New Roman" w:hAnsi="Times New Roman" w:cs="Times New Roman"/>
          <w:sz w:val="22"/>
          <w:szCs w:val="22"/>
        </w:rPr>
      </w:pPr>
      <w:r w:rsidRPr="006A04C1">
        <w:rPr>
          <w:rFonts w:ascii="Times New Roman" w:hAnsi="Times New Roman" w:cs="Times New Roman"/>
          <w:sz w:val="22"/>
          <w:szCs w:val="22"/>
        </w:rPr>
        <w:t xml:space="preserve">                              ---------------</w:t>
      </w:r>
    </w:p>
    <w:sectPr w:rsidR="008762EA" w:rsidRPr="006A0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C1"/>
    <w:rsid w:val="00136649"/>
    <w:rsid w:val="002F1940"/>
    <w:rsid w:val="006A04C1"/>
    <w:rsid w:val="00BE006E"/>
    <w:rsid w:val="00CB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1C8CD80-C9E3-204B-A709-25AFCFD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4503</Words>
  <Characters>25673</Characters>
  <Application>Microsoft Office Word</Application>
  <DocSecurity>0</DocSecurity>
  <Lines>213</Lines>
  <Paragraphs>60</Paragraphs>
  <ScaleCrop>false</ScaleCrop>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Vest</dc:creator>
  <cp:keywords/>
  <dc:description/>
  <cp:lastModifiedBy>ADR Vest</cp:lastModifiedBy>
  <cp:revision>1</cp:revision>
  <dcterms:created xsi:type="dcterms:W3CDTF">2023-12-18T08:36:00Z</dcterms:created>
  <dcterms:modified xsi:type="dcterms:W3CDTF">2023-12-18T08:38:00Z</dcterms:modified>
</cp:coreProperties>
</file>