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1" w:rsidRPr="00AB5197" w:rsidRDefault="00D01441" w:rsidP="009A0945">
      <w:pPr>
        <w:tabs>
          <w:tab w:val="left" w:pos="3481"/>
        </w:tabs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:rsidR="00531A34" w:rsidRPr="0006409F" w:rsidRDefault="00A5125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 w:rsidRPr="0006409F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elemente de conținut ale unui </w:t>
      </w:r>
      <w:r w:rsidR="00AB0C21" w:rsidRPr="0006409F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Acord-cadru de delegare a anumitor atribuţii privind implementarea Programului Operaţional Regional 2014 – 2020, Axa Prioritară 4 – SPRIJINIREA DEZVOLTĂRI URBANE DURABILE</w:t>
      </w:r>
    </w:p>
    <w:p w:rsidR="00AB0C21" w:rsidRPr="0006409F" w:rsidRDefault="00AB0C21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317766" w:rsidRPr="0006409F" w:rsidRDefault="000F7594" w:rsidP="00AB6617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Autoritatea de Management pentru Programul Operațional Regional 2014-2020 (AM POR) confirmă că strategia integrată de dezvoltare urbană aferentă municipiului reședință de județ/zonei metropolitane/ADI  …… îndeplinește cerințele de eligibilitate și admisibilitate, fiind coerentă cu Axa Prioritară 4 a Programului Operațional Regional 2014-2020 (POR). AM POR și municipiului reședință de județ/zonei metropolitane/ADI….</w:t>
      </w:r>
      <w:r w:rsidR="003F44B3" w:rsidRPr="0006409F">
        <w:rPr>
          <w:rFonts w:ascii="Trebuchet MS" w:eastAsia="Times New Roman" w:hAnsi="Trebuchet MS" w:cs="Times New Roman"/>
          <w:bCs/>
          <w:sz w:val="20"/>
          <w:szCs w:val="20"/>
        </w:rPr>
        <w:t>..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 xml:space="preserve"> stabilesc de comun acord procedurile de raportare a monitorizării contribuției SIDU la atingerea obiectivelor POR 2014-2020, Axa prioritară 4 - </w:t>
      </w:r>
      <w:r w:rsidRPr="0006409F">
        <w:rPr>
          <w:rFonts w:ascii="Trebuchet MS" w:eastAsia="Times New Roman" w:hAnsi="Trebuchet MS" w:cs="Times New Roman"/>
          <w:bCs/>
          <w:i/>
          <w:sz w:val="20"/>
          <w:szCs w:val="20"/>
        </w:rPr>
        <w:t>Sprijinirea dezvoltări urbane durabile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.</w:t>
      </w:r>
    </w:p>
    <w:p w:rsidR="000F7594" w:rsidRPr="0006409F" w:rsidRDefault="000F7594" w:rsidP="00317766">
      <w:pPr>
        <w:pStyle w:val="ListParagraph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 xml:space="preserve"> </w:t>
      </w:r>
    </w:p>
    <w:p w:rsidR="00BA09B0" w:rsidRPr="0006409F" w:rsidRDefault="00842DD8" w:rsidP="00BA09B0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hAnsi="Trebuchet MS" w:cs="Arial"/>
          <w:b/>
          <w:sz w:val="20"/>
          <w:szCs w:val="20"/>
        </w:rPr>
        <w:t>Î</w:t>
      </w:r>
      <w:r w:rsidRPr="0006409F">
        <w:rPr>
          <w:rFonts w:ascii="Trebuchet MS" w:hAnsi="Trebuchet MS" w:cs="Arial"/>
          <w:sz w:val="20"/>
          <w:szCs w:val="20"/>
        </w:rPr>
        <w:t xml:space="preserve">n temeiul </w:t>
      </w:r>
      <w:r w:rsidR="00317766" w:rsidRPr="0006409F">
        <w:rPr>
          <w:rFonts w:ascii="Trebuchet MS" w:hAnsi="Trebuchet MS" w:cs="Arial"/>
          <w:sz w:val="20"/>
          <w:szCs w:val="20"/>
        </w:rPr>
        <w:t xml:space="preserve">art. 7 </w:t>
      </w:r>
      <w:r w:rsidR="00AB6617" w:rsidRPr="0006409F">
        <w:rPr>
          <w:rFonts w:ascii="Trebuchet MS" w:hAnsi="Trebuchet MS" w:cs="Arial"/>
          <w:sz w:val="20"/>
          <w:szCs w:val="20"/>
        </w:rPr>
        <w:t>alin. 4 d</w:t>
      </w:r>
      <w:bookmarkStart w:id="0" w:name="_GoBack"/>
      <w:bookmarkEnd w:id="0"/>
      <w:r w:rsidR="00AB6617" w:rsidRPr="0006409F">
        <w:rPr>
          <w:rFonts w:ascii="Trebuchet MS" w:hAnsi="Trebuchet MS" w:cs="Arial"/>
          <w:sz w:val="20"/>
          <w:szCs w:val="20"/>
        </w:rPr>
        <w:t xml:space="preserve">in Regulamentul (UE) nr. 1301/2013 al Parlamentului European şi al Consiliului și </w:t>
      </w:r>
      <w:r w:rsidRPr="0006409F">
        <w:rPr>
          <w:rFonts w:ascii="Trebuchet MS" w:hAnsi="Trebuchet MS" w:cs="Arial"/>
          <w:sz w:val="20"/>
          <w:szCs w:val="20"/>
        </w:rPr>
        <w:t xml:space="preserve">art. 123 alin. 6 din Regulamentul (UE) </w:t>
      </w:r>
      <w:r w:rsidR="00AB6617" w:rsidRPr="0006409F">
        <w:rPr>
          <w:rFonts w:ascii="Trebuchet MS" w:hAnsi="Trebuchet MS" w:cs="Arial"/>
          <w:sz w:val="20"/>
          <w:szCs w:val="20"/>
        </w:rPr>
        <w:t>nr</w:t>
      </w:r>
      <w:r w:rsidRPr="0006409F">
        <w:rPr>
          <w:rFonts w:ascii="Trebuchet MS" w:hAnsi="Trebuchet MS" w:cs="Arial"/>
          <w:sz w:val="20"/>
          <w:szCs w:val="20"/>
        </w:rPr>
        <w:t xml:space="preserve">. 1303/2013 al Parlamentului European şi al Consiliului, respectiv în baza prevederilor Hotărârii Guvernului nr. 1183/2014 </w:t>
      </w:r>
      <w:r w:rsidRPr="0006409F">
        <w:rPr>
          <w:rFonts w:ascii="Trebuchet MS" w:hAnsi="Trebuchet MS" w:cs="Arial"/>
          <w:sz w:val="20"/>
          <w:szCs w:val="20"/>
          <w:shd w:val="clear" w:color="auto" w:fill="FFFFFF"/>
        </w:rPr>
        <w:t>privind nominalizarea autorităţilor implicate în sistemul de management şi control al fondurilor europene structurale şi de investiţii 2014-2020</w:t>
      </w:r>
      <w:r w:rsidRPr="0006409F">
        <w:rPr>
          <w:rFonts w:ascii="Trebuchet MS" w:hAnsi="Trebuchet MS" w:cs="Arial"/>
          <w:sz w:val="20"/>
          <w:szCs w:val="20"/>
        </w:rPr>
        <w:t xml:space="preserve"> AMPOR</w:t>
      </w:r>
      <w:r w:rsidRPr="0006409F">
        <w:rPr>
          <w:rFonts w:ascii="Trebuchet MS" w:hAnsi="Trebuchet MS" w:cs="Arial"/>
          <w:b/>
          <w:sz w:val="20"/>
          <w:szCs w:val="20"/>
        </w:rPr>
        <w:t xml:space="preserve"> </w:t>
      </w:r>
      <w:r w:rsidRPr="0006409F">
        <w:rPr>
          <w:rFonts w:ascii="Trebuchet MS" w:hAnsi="Trebuchet MS" w:cs="Arial"/>
          <w:sz w:val="20"/>
          <w:szCs w:val="20"/>
        </w:rPr>
        <w:t xml:space="preserve">deleagă </w:t>
      </w:r>
      <w:r w:rsidR="00AB6617" w:rsidRPr="0006409F">
        <w:rPr>
          <w:rFonts w:ascii="Trebuchet MS" w:hAnsi="Trebuchet MS" w:cs="Arial"/>
          <w:sz w:val="20"/>
          <w:szCs w:val="20"/>
        </w:rPr>
        <w:t>municipiului reședință de județ......</w:t>
      </w:r>
      <w:r w:rsidRPr="0006409F">
        <w:rPr>
          <w:rFonts w:ascii="Trebuchet MS" w:hAnsi="Trebuchet MS" w:cs="Arial"/>
          <w:sz w:val="20"/>
          <w:szCs w:val="20"/>
        </w:rPr>
        <w:t xml:space="preserve"> atribuţi</w:t>
      </w:r>
      <w:r w:rsidR="00AB6617" w:rsidRPr="0006409F">
        <w:rPr>
          <w:rFonts w:ascii="Trebuchet MS" w:hAnsi="Trebuchet MS" w:cs="Arial"/>
          <w:sz w:val="20"/>
          <w:szCs w:val="20"/>
        </w:rPr>
        <w:t xml:space="preserve">a de selecție strategică a operațiunilor finanțabile prin intermediul POR 2014-2020, Axa Prioritară 4 </w:t>
      </w:r>
      <w:r w:rsidR="00AB6617" w:rsidRPr="0006409F">
        <w:rPr>
          <w:rFonts w:ascii="Trebuchet MS" w:hAnsi="Trebuchet MS" w:cs="Arial"/>
          <w:i/>
          <w:sz w:val="20"/>
          <w:szCs w:val="20"/>
        </w:rPr>
        <w:t>Sprijinirea dezvoltări urbane durabile.</w:t>
      </w:r>
    </w:p>
    <w:p w:rsidR="00BA09B0" w:rsidRPr="0006409F" w:rsidRDefault="00BA09B0" w:rsidP="00BA09B0">
      <w:pPr>
        <w:pStyle w:val="ListParagraph"/>
      </w:pPr>
    </w:p>
    <w:p w:rsidR="00BA09B0" w:rsidRPr="0006409F" w:rsidRDefault="00BA09B0" w:rsidP="00BA09B0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hAnsi="Trebuchet MS"/>
          <w:sz w:val="20"/>
          <w:szCs w:val="20"/>
        </w:rPr>
        <w:t xml:space="preserve">În acest scop, municipiul reședință de județ ..... va acționa ca organism intermediar de nivel II (secundar) al AM POR 2014-2020 pentru prioritizarea și selectarea strategică a operațiunilor </w:t>
      </w:r>
      <w:r w:rsidR="00582020" w:rsidRPr="0006409F">
        <w:rPr>
          <w:rFonts w:ascii="Trebuchet MS" w:hAnsi="Trebuchet MS"/>
          <w:sz w:val="20"/>
          <w:szCs w:val="20"/>
        </w:rPr>
        <w:t xml:space="preserve">aferente SIDU </w:t>
      </w:r>
      <w:r w:rsidRPr="0006409F">
        <w:rPr>
          <w:rFonts w:ascii="Trebuchet MS" w:hAnsi="Trebuchet MS" w:cs="Arial"/>
          <w:sz w:val="20"/>
          <w:szCs w:val="20"/>
        </w:rPr>
        <w:t xml:space="preserve">finanțabile prin intermediul POR 2014-2020, Axa Prioritară 4 </w:t>
      </w:r>
      <w:r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Pr="0006409F">
        <w:rPr>
          <w:rFonts w:ascii="Trebuchet MS" w:hAnsi="Trebuchet MS"/>
          <w:sz w:val="20"/>
          <w:szCs w:val="20"/>
        </w:rPr>
        <w:t>.</w:t>
      </w:r>
    </w:p>
    <w:p w:rsidR="00842DD8" w:rsidRPr="0006409F" w:rsidRDefault="00842DD8" w:rsidP="00AB6617">
      <w:pPr>
        <w:pStyle w:val="ListParagraph"/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</w:p>
    <w:p w:rsidR="00842DD8" w:rsidRPr="0006409F" w:rsidRDefault="00AB6617" w:rsidP="00842DD8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hAnsi="Trebuchet MS"/>
          <w:sz w:val="20"/>
          <w:szCs w:val="20"/>
        </w:rPr>
        <w:t xml:space="preserve">Metodologia și criteriile de prioritizare și selecție </w:t>
      </w:r>
      <w:r w:rsidR="003F44B3" w:rsidRPr="0006409F">
        <w:rPr>
          <w:rFonts w:ascii="Trebuchet MS" w:hAnsi="Trebuchet MS"/>
          <w:sz w:val="20"/>
          <w:szCs w:val="20"/>
        </w:rPr>
        <w:t xml:space="preserve">a operațiunilor finanțabile în cadrul </w:t>
      </w:r>
      <w:r w:rsidR="003F44B3" w:rsidRPr="0006409F">
        <w:rPr>
          <w:rFonts w:ascii="Trebuchet MS" w:hAnsi="Trebuchet MS" w:cs="Arial"/>
          <w:sz w:val="20"/>
          <w:szCs w:val="20"/>
        </w:rPr>
        <w:t xml:space="preserve">Axei Prioritare 4 </w:t>
      </w:r>
      <w:r w:rsidR="003F44B3"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="003F44B3" w:rsidRPr="0006409F">
        <w:rPr>
          <w:rFonts w:ascii="Trebuchet MS" w:hAnsi="Trebuchet MS"/>
          <w:sz w:val="20"/>
          <w:szCs w:val="20"/>
        </w:rPr>
        <w:t xml:space="preserve"> </w:t>
      </w:r>
      <w:r w:rsidRPr="0006409F">
        <w:rPr>
          <w:rFonts w:ascii="Trebuchet MS" w:hAnsi="Trebuchet MS"/>
          <w:sz w:val="20"/>
          <w:szCs w:val="20"/>
        </w:rPr>
        <w:t>utilizate de municipiul reședință de județ ..... sunt aprobate de către Comitetul de Monitorizare al POR 2014-2020.</w:t>
      </w:r>
    </w:p>
    <w:p w:rsidR="003F44B3" w:rsidRPr="0006409F" w:rsidRDefault="003F44B3" w:rsidP="003F44B3">
      <w:pPr>
        <w:pStyle w:val="ListParagraph"/>
        <w:rPr>
          <w:rFonts w:ascii="Trebuchet MS" w:eastAsia="Times New Roman" w:hAnsi="Trebuchet MS" w:cs="Times New Roman"/>
          <w:bCs/>
          <w:caps/>
          <w:sz w:val="20"/>
          <w:szCs w:val="20"/>
        </w:rPr>
      </w:pPr>
    </w:p>
    <w:p w:rsidR="003F44B3" w:rsidRPr="0006409F" w:rsidRDefault="003F44B3" w:rsidP="003F44B3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06409F">
        <w:rPr>
          <w:rFonts w:ascii="Trebuchet MS" w:hAnsi="Trebuchet MS"/>
          <w:sz w:val="20"/>
          <w:szCs w:val="20"/>
        </w:rPr>
        <w:t xml:space="preserve">AM POR </w:t>
      </w:r>
      <w:r w:rsidR="00DC3F43" w:rsidRPr="0006409F">
        <w:rPr>
          <w:rFonts w:ascii="Trebuchet MS" w:hAnsi="Trebuchet MS"/>
          <w:sz w:val="20"/>
          <w:szCs w:val="20"/>
        </w:rPr>
        <w:t xml:space="preserve">va </w:t>
      </w:r>
      <w:r w:rsidRPr="0006409F">
        <w:rPr>
          <w:rFonts w:ascii="Trebuchet MS" w:hAnsi="Trebuchet MS"/>
          <w:sz w:val="20"/>
          <w:szCs w:val="20"/>
        </w:rPr>
        <w:t xml:space="preserve">realiza evaluarea tehnică a </w:t>
      </w:r>
      <w:r w:rsidR="00694A5C" w:rsidRPr="0006409F">
        <w:rPr>
          <w:rFonts w:ascii="Trebuchet MS" w:hAnsi="Trebuchet MS"/>
          <w:sz w:val="20"/>
          <w:szCs w:val="20"/>
        </w:rPr>
        <w:t>operațiunilor</w:t>
      </w:r>
      <w:r w:rsidR="007419F0" w:rsidRPr="0006409F">
        <w:rPr>
          <w:rFonts w:ascii="Trebuchet MS" w:hAnsi="Trebuchet MS"/>
          <w:sz w:val="20"/>
          <w:szCs w:val="20"/>
        </w:rPr>
        <w:t xml:space="preserve"> finanțabile în cadrul </w:t>
      </w:r>
      <w:r w:rsidR="007419F0" w:rsidRPr="0006409F">
        <w:rPr>
          <w:rFonts w:ascii="Trebuchet MS" w:hAnsi="Trebuchet MS" w:cs="Arial"/>
          <w:sz w:val="20"/>
          <w:szCs w:val="20"/>
        </w:rPr>
        <w:t xml:space="preserve">Axei Prioritare 4 </w:t>
      </w:r>
      <w:r w:rsidR="007419F0"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Pr="0006409F">
        <w:rPr>
          <w:rFonts w:ascii="Trebuchet MS" w:hAnsi="Trebuchet MS"/>
          <w:sz w:val="20"/>
          <w:szCs w:val="20"/>
        </w:rPr>
        <w:t xml:space="preserve">, inclusiv o verificare finală a eligibilității </w:t>
      </w:r>
      <w:r w:rsidR="00694A5C" w:rsidRPr="0006409F">
        <w:rPr>
          <w:rFonts w:ascii="Trebuchet MS" w:hAnsi="Trebuchet MS"/>
          <w:sz w:val="20"/>
          <w:szCs w:val="20"/>
        </w:rPr>
        <w:t>acestora</w:t>
      </w:r>
      <w:r w:rsidRPr="0006409F">
        <w:rPr>
          <w:rFonts w:ascii="Trebuchet MS" w:hAnsi="Trebuchet MS"/>
          <w:sz w:val="20"/>
          <w:szCs w:val="20"/>
        </w:rPr>
        <w:t>.</w:t>
      </w:r>
    </w:p>
    <w:p w:rsidR="003260FB" w:rsidRPr="0006409F" w:rsidRDefault="003260FB" w:rsidP="003260FB">
      <w:pPr>
        <w:pStyle w:val="ListParagraph"/>
        <w:rPr>
          <w:rFonts w:ascii="Trebuchet MS" w:hAnsi="Trebuchet MS"/>
          <w:sz w:val="20"/>
          <w:szCs w:val="20"/>
        </w:rPr>
      </w:pPr>
    </w:p>
    <w:p w:rsidR="00804D14" w:rsidRPr="0006409F" w:rsidRDefault="00804D14" w:rsidP="00804D1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AMPOR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deţine responsabilitatea finală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,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în faţa Comisiei Europene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,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 xml:space="preserve">pentru îndeplinirea </w:t>
      </w:r>
      <w:r w:rsidRPr="0006409F">
        <w:rPr>
          <w:rFonts w:ascii="Trebuchet MS" w:hAnsi="Trebuchet MS" w:cs="Arial"/>
          <w:sz w:val="20"/>
          <w:szCs w:val="20"/>
        </w:rPr>
        <w:t>corespunzătoare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 xml:space="preserve"> a obligaţiilor menţionate în art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.125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 xml:space="preserve">din Regulamentul 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(UE)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nr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 xml:space="preserve">. 1303/2013 </w:t>
      </w:r>
      <w:r w:rsidRPr="0006409F">
        <w:rPr>
          <w:rFonts w:ascii="Trebuchet MS" w:eastAsia="Times New Roman" w:hAnsi="Trebuchet MS" w:cs="Times New Roman"/>
          <w:bCs/>
          <w:sz w:val="20"/>
          <w:szCs w:val="20"/>
        </w:rPr>
        <w:t>al Parlamentului European şi al Consiliului</w:t>
      </w:r>
      <w:r w:rsidRPr="0006409F">
        <w:rPr>
          <w:rFonts w:ascii="Trebuchet MS" w:eastAsia="Times New Roman" w:hAnsi="Trebuchet MS" w:cs="Times New Roman"/>
          <w:bCs/>
          <w:caps/>
          <w:sz w:val="20"/>
          <w:szCs w:val="20"/>
        </w:rPr>
        <w:t>.</w:t>
      </w:r>
    </w:p>
    <w:p w:rsidR="00804D14" w:rsidRPr="0006409F" w:rsidRDefault="00804D14" w:rsidP="00804D14">
      <w:pPr>
        <w:pStyle w:val="ListParagraph"/>
        <w:rPr>
          <w:rFonts w:ascii="Trebuchet MS" w:hAnsi="Trebuchet MS"/>
          <w:sz w:val="20"/>
          <w:szCs w:val="20"/>
        </w:rPr>
      </w:pPr>
    </w:p>
    <w:p w:rsidR="00AB6617" w:rsidRPr="0006409F" w:rsidRDefault="00273BB6" w:rsidP="00842DD8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eastAsia="Times New Roman" w:hAnsi="Trebuchet MS" w:cs="Times New Roman"/>
          <w:bCs/>
          <w:caps/>
          <w:sz w:val="20"/>
          <w:szCs w:val="20"/>
        </w:rPr>
      </w:pPr>
      <w:r w:rsidRPr="0006409F">
        <w:rPr>
          <w:rFonts w:ascii="Trebuchet MS" w:hAnsi="Trebuchet MS"/>
          <w:sz w:val="20"/>
          <w:szCs w:val="20"/>
        </w:rPr>
        <w:t xml:space="preserve">În cazul în care este și beneficiar al unei operațiuni finanțabile în cadrul </w:t>
      </w:r>
      <w:r w:rsidRPr="0006409F">
        <w:rPr>
          <w:rFonts w:ascii="Trebuchet MS" w:hAnsi="Trebuchet MS" w:cs="Arial"/>
          <w:sz w:val="20"/>
          <w:szCs w:val="20"/>
        </w:rPr>
        <w:t xml:space="preserve">Axei Prioritare 4 </w:t>
      </w:r>
      <w:r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Pr="0006409F">
        <w:rPr>
          <w:rFonts w:ascii="Trebuchet MS" w:hAnsi="Trebuchet MS"/>
          <w:sz w:val="20"/>
          <w:szCs w:val="20"/>
        </w:rPr>
        <w:t>, muncipiul reședință de județ va asigura respectarea principiului segregării funcțiilor și a prevenirii conflictului de interes, prin desemnarea unor membri în cadrul autorității urbane care să nu fie implicați în procesul de implementare a operațiunilor. În acest sens, proceduri adecvate de lucru vor fi elaborate și aprobate.</w:t>
      </w:r>
    </w:p>
    <w:p w:rsidR="003A150C" w:rsidRPr="0006409F" w:rsidRDefault="003A150C" w:rsidP="003A150C">
      <w:pPr>
        <w:pStyle w:val="ListParagraph"/>
        <w:rPr>
          <w:rFonts w:ascii="Trebuchet MS" w:eastAsia="Times New Roman" w:hAnsi="Trebuchet MS" w:cs="Times New Roman"/>
          <w:bCs/>
          <w:caps/>
          <w:sz w:val="20"/>
          <w:szCs w:val="20"/>
        </w:rPr>
      </w:pPr>
    </w:p>
    <w:p w:rsidR="009F1934" w:rsidRPr="0006409F" w:rsidRDefault="009F1934" w:rsidP="00542841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6409F">
        <w:rPr>
          <w:rFonts w:ascii="Trebuchet MS" w:hAnsi="Trebuchet MS" w:cs="Arial"/>
          <w:sz w:val="20"/>
          <w:szCs w:val="20"/>
        </w:rPr>
        <w:t xml:space="preserve">Părţile au obligaţia de a elabora proceduri interne de lucru în vederea executării prezentului Acord şi a îndeplinirii obligaţiilor ce le revin în legătură cu implementarea POR 2014-2020, Axa Prioritară 4 </w:t>
      </w:r>
      <w:r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Pr="0006409F">
        <w:rPr>
          <w:rFonts w:ascii="Trebuchet MS" w:hAnsi="Trebuchet MS" w:cs="Arial"/>
          <w:sz w:val="20"/>
          <w:szCs w:val="20"/>
        </w:rPr>
        <w:t xml:space="preserve">. </w:t>
      </w:r>
      <w:r w:rsidRPr="0006409F">
        <w:rPr>
          <w:rFonts w:ascii="Trebuchet MS" w:hAnsi="Trebuchet MS"/>
          <w:sz w:val="20"/>
          <w:szCs w:val="20"/>
        </w:rPr>
        <w:t xml:space="preserve">Procedurile de lucru ale municipiului reședință de județ ...... și rezultatele procesului de selecție strategică a operațiuni finanțabile în cadrul </w:t>
      </w:r>
      <w:r w:rsidRPr="0006409F">
        <w:rPr>
          <w:rFonts w:ascii="Trebuchet MS" w:hAnsi="Trebuchet MS" w:cs="Arial"/>
          <w:sz w:val="20"/>
          <w:szCs w:val="20"/>
        </w:rPr>
        <w:t xml:space="preserve">Axei Prioritare 4 </w:t>
      </w:r>
      <w:r w:rsidRPr="0006409F">
        <w:rPr>
          <w:rFonts w:ascii="Trebuchet MS" w:hAnsi="Trebuchet MS" w:cs="Arial"/>
          <w:i/>
          <w:sz w:val="20"/>
          <w:szCs w:val="20"/>
        </w:rPr>
        <w:t>Sprijinirea dezvoltări urbane durabile</w:t>
      </w:r>
      <w:r w:rsidRPr="0006409F">
        <w:rPr>
          <w:rFonts w:ascii="Trebuchet MS" w:hAnsi="Trebuchet MS"/>
          <w:sz w:val="20"/>
          <w:szCs w:val="20"/>
        </w:rPr>
        <w:t xml:space="preserve"> vor fi documentate și păstrate de către acesta în conformitate cu termenele specifice operațiunilor finanțate de către Fondul European pentru Dezvoltare Regională.</w:t>
      </w:r>
      <w:r w:rsidR="00542841" w:rsidRPr="0006409F">
        <w:rPr>
          <w:rFonts w:ascii="Trebuchet MS" w:hAnsi="Trebuchet MS"/>
          <w:sz w:val="20"/>
          <w:szCs w:val="20"/>
        </w:rPr>
        <w:t xml:space="preserve"> Lista manualelor de proceduri interne </w:t>
      </w:r>
      <w:r w:rsidR="00DC3F43" w:rsidRPr="0006409F">
        <w:rPr>
          <w:rFonts w:ascii="Trebuchet MS" w:hAnsi="Trebuchet MS"/>
          <w:sz w:val="20"/>
          <w:szCs w:val="20"/>
        </w:rPr>
        <w:t xml:space="preserve">este </w:t>
      </w:r>
      <w:r w:rsidR="00542841" w:rsidRPr="0006409F">
        <w:rPr>
          <w:rFonts w:ascii="Trebuchet MS" w:hAnsi="Trebuchet MS"/>
          <w:sz w:val="20"/>
          <w:szCs w:val="20"/>
        </w:rPr>
        <w:t>atașat</w:t>
      </w:r>
      <w:r w:rsidR="00DC3F43" w:rsidRPr="0006409F">
        <w:rPr>
          <w:rFonts w:ascii="Trebuchet MS" w:hAnsi="Trebuchet MS"/>
          <w:sz w:val="20"/>
          <w:szCs w:val="20"/>
        </w:rPr>
        <w:t xml:space="preserve">ă </w:t>
      </w:r>
      <w:r w:rsidR="00542841" w:rsidRPr="0006409F">
        <w:rPr>
          <w:rFonts w:ascii="Trebuchet MS" w:hAnsi="Trebuchet MS"/>
          <w:sz w:val="20"/>
          <w:szCs w:val="20"/>
        </w:rPr>
        <w:t>prezentului Acord.</w:t>
      </w:r>
    </w:p>
    <w:p w:rsidR="009F1934" w:rsidRPr="0006409F" w:rsidRDefault="009F1934" w:rsidP="00542841">
      <w:pPr>
        <w:pStyle w:val="ListParagraph"/>
        <w:spacing w:before="60"/>
        <w:jc w:val="both"/>
        <w:rPr>
          <w:rFonts w:ascii="Arial" w:hAnsi="Arial" w:cs="Arial"/>
        </w:rPr>
      </w:pPr>
    </w:p>
    <w:p w:rsidR="00A8750E" w:rsidRPr="0006409F" w:rsidRDefault="00E60E1A" w:rsidP="009A0945">
      <w:pPr>
        <w:pStyle w:val="ListParagraph"/>
        <w:numPr>
          <w:ilvl w:val="0"/>
          <w:numId w:val="14"/>
        </w:numPr>
        <w:tabs>
          <w:tab w:val="left" w:pos="3481"/>
        </w:tabs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06409F">
        <w:rPr>
          <w:rFonts w:ascii="Trebuchet MS" w:hAnsi="Trebuchet MS" w:cs="Arial"/>
          <w:sz w:val="20"/>
          <w:szCs w:val="20"/>
        </w:rPr>
        <w:t xml:space="preserve">AM POR, Autoritatea de Audit, Comisia Europeană și Curtea Europeană de Conturi, precum şi oricare alte instituţii legal abilitate în acest sens, au dreptul de a realiza un audit cu privire la procesul de selecție a operațiunilor finațabile </w:t>
      </w:r>
      <w:r w:rsidRPr="0006409F">
        <w:rPr>
          <w:rFonts w:ascii="Trebuchet MS" w:hAnsi="Trebuchet MS"/>
          <w:sz w:val="20"/>
          <w:szCs w:val="20"/>
        </w:rPr>
        <w:t xml:space="preserve">în cadrul </w:t>
      </w:r>
      <w:r w:rsidRPr="0006409F">
        <w:rPr>
          <w:rFonts w:ascii="Trebuchet MS" w:hAnsi="Trebuchet MS" w:cs="Arial"/>
          <w:sz w:val="20"/>
          <w:szCs w:val="20"/>
        </w:rPr>
        <w:t xml:space="preserve">Axei Prioritare 4 </w:t>
      </w:r>
      <w:r w:rsidRPr="0006409F">
        <w:rPr>
          <w:rFonts w:ascii="Trebuchet MS" w:hAnsi="Trebuchet MS" w:cs="Arial"/>
          <w:i/>
          <w:sz w:val="20"/>
          <w:szCs w:val="20"/>
        </w:rPr>
        <w:t>Sprijinirea dezvoltări urbane</w:t>
      </w:r>
      <w:r w:rsidR="009F1934" w:rsidRPr="0006409F">
        <w:rPr>
          <w:rFonts w:ascii="Trebuchet MS" w:hAnsi="Trebuchet MS" w:cs="Arial"/>
          <w:sz w:val="20"/>
          <w:szCs w:val="20"/>
        </w:rPr>
        <w:t>.</w:t>
      </w:r>
    </w:p>
    <w:sectPr w:rsidR="00A8750E" w:rsidRPr="0006409F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7A" w:rsidRDefault="0019347A" w:rsidP="003A70FA">
      <w:pPr>
        <w:spacing w:after="0" w:line="240" w:lineRule="auto"/>
      </w:pPr>
      <w:r>
        <w:separator/>
      </w:r>
    </w:p>
  </w:endnote>
  <w:endnote w:type="continuationSeparator" w:id="0">
    <w:p w:rsidR="0019347A" w:rsidRDefault="0019347A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7A" w:rsidRDefault="0019347A" w:rsidP="003A70FA">
      <w:pPr>
        <w:spacing w:after="0" w:line="240" w:lineRule="auto"/>
      </w:pPr>
      <w:r>
        <w:separator/>
      </w:r>
    </w:p>
  </w:footnote>
  <w:footnote w:type="continuationSeparator" w:id="0">
    <w:p w:rsidR="0019347A" w:rsidRDefault="0019347A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28548B" w:rsidRPr="003A70FA" w:rsidTr="0028548B">
      <w:tc>
        <w:tcPr>
          <w:tcW w:w="7560" w:type="dxa"/>
        </w:tcPr>
        <w:p w:rsidR="0028548B" w:rsidRPr="003A70FA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DC3F43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28548B" w:rsidRPr="003A70FA" w:rsidTr="0028548B">
      <w:trPr>
        <w:cantSplit/>
      </w:trPr>
      <w:tc>
        <w:tcPr>
          <w:tcW w:w="8820" w:type="dxa"/>
          <w:gridSpan w:val="2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28548B" w:rsidRPr="003A70FA" w:rsidRDefault="0028548B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28548B" w:rsidRDefault="0028548B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6409F"/>
    <w:rsid w:val="00087947"/>
    <w:rsid w:val="000A42FE"/>
    <w:rsid w:val="000C51F2"/>
    <w:rsid w:val="000F7594"/>
    <w:rsid w:val="00112BCE"/>
    <w:rsid w:val="00192201"/>
    <w:rsid w:val="0019347A"/>
    <w:rsid w:val="001B6117"/>
    <w:rsid w:val="001C009E"/>
    <w:rsid w:val="001F3244"/>
    <w:rsid w:val="002308BA"/>
    <w:rsid w:val="002320E9"/>
    <w:rsid w:val="002422A8"/>
    <w:rsid w:val="00273BB6"/>
    <w:rsid w:val="00283DE2"/>
    <w:rsid w:val="002844FB"/>
    <w:rsid w:val="00285421"/>
    <w:rsid w:val="0028548B"/>
    <w:rsid w:val="002E3AF5"/>
    <w:rsid w:val="002E4434"/>
    <w:rsid w:val="002E6D15"/>
    <w:rsid w:val="00317766"/>
    <w:rsid w:val="003260FB"/>
    <w:rsid w:val="00336807"/>
    <w:rsid w:val="003401D2"/>
    <w:rsid w:val="00395305"/>
    <w:rsid w:val="003A150C"/>
    <w:rsid w:val="003A70FA"/>
    <w:rsid w:val="003B1A70"/>
    <w:rsid w:val="003D1B3C"/>
    <w:rsid w:val="003E032E"/>
    <w:rsid w:val="003E6030"/>
    <w:rsid w:val="003F38A0"/>
    <w:rsid w:val="003F44B3"/>
    <w:rsid w:val="00407A5B"/>
    <w:rsid w:val="00410106"/>
    <w:rsid w:val="0042377B"/>
    <w:rsid w:val="00441EDA"/>
    <w:rsid w:val="004575AA"/>
    <w:rsid w:val="00461CC7"/>
    <w:rsid w:val="0046545A"/>
    <w:rsid w:val="004815DB"/>
    <w:rsid w:val="00482294"/>
    <w:rsid w:val="00492068"/>
    <w:rsid w:val="004C6217"/>
    <w:rsid w:val="004E41DB"/>
    <w:rsid w:val="00507351"/>
    <w:rsid w:val="00531A34"/>
    <w:rsid w:val="00542841"/>
    <w:rsid w:val="00547DD9"/>
    <w:rsid w:val="00582020"/>
    <w:rsid w:val="005D48D7"/>
    <w:rsid w:val="005D5DAD"/>
    <w:rsid w:val="005E6D5A"/>
    <w:rsid w:val="00601F9C"/>
    <w:rsid w:val="006312E3"/>
    <w:rsid w:val="0068560C"/>
    <w:rsid w:val="00694A5C"/>
    <w:rsid w:val="006C40D7"/>
    <w:rsid w:val="006C6058"/>
    <w:rsid w:val="006F5F91"/>
    <w:rsid w:val="00701DFD"/>
    <w:rsid w:val="00706EE6"/>
    <w:rsid w:val="00712B3F"/>
    <w:rsid w:val="007419F0"/>
    <w:rsid w:val="007554A7"/>
    <w:rsid w:val="00794908"/>
    <w:rsid w:val="00804D14"/>
    <w:rsid w:val="00806312"/>
    <w:rsid w:val="0082199B"/>
    <w:rsid w:val="00825E47"/>
    <w:rsid w:val="00842DD8"/>
    <w:rsid w:val="00842F10"/>
    <w:rsid w:val="008F105F"/>
    <w:rsid w:val="00916E3E"/>
    <w:rsid w:val="009276C6"/>
    <w:rsid w:val="00935E66"/>
    <w:rsid w:val="00976D8C"/>
    <w:rsid w:val="009926E7"/>
    <w:rsid w:val="009A0945"/>
    <w:rsid w:val="009A563B"/>
    <w:rsid w:val="009C083A"/>
    <w:rsid w:val="009D385D"/>
    <w:rsid w:val="009E18C3"/>
    <w:rsid w:val="009F1934"/>
    <w:rsid w:val="00A51254"/>
    <w:rsid w:val="00A67571"/>
    <w:rsid w:val="00A730CA"/>
    <w:rsid w:val="00A83646"/>
    <w:rsid w:val="00A8750E"/>
    <w:rsid w:val="00AB0C21"/>
    <w:rsid w:val="00AB5197"/>
    <w:rsid w:val="00AB6617"/>
    <w:rsid w:val="00B001BB"/>
    <w:rsid w:val="00B074C4"/>
    <w:rsid w:val="00B07E08"/>
    <w:rsid w:val="00B3280A"/>
    <w:rsid w:val="00B522E7"/>
    <w:rsid w:val="00B64CBE"/>
    <w:rsid w:val="00B7306B"/>
    <w:rsid w:val="00B93D09"/>
    <w:rsid w:val="00BA09B0"/>
    <w:rsid w:val="00BD2EB0"/>
    <w:rsid w:val="00BF3843"/>
    <w:rsid w:val="00C04C23"/>
    <w:rsid w:val="00C10CCF"/>
    <w:rsid w:val="00C10EB4"/>
    <w:rsid w:val="00C16E3D"/>
    <w:rsid w:val="00C3275F"/>
    <w:rsid w:val="00C8126A"/>
    <w:rsid w:val="00CB4BB4"/>
    <w:rsid w:val="00CC63C5"/>
    <w:rsid w:val="00CF5916"/>
    <w:rsid w:val="00D01441"/>
    <w:rsid w:val="00D14C90"/>
    <w:rsid w:val="00D15266"/>
    <w:rsid w:val="00D82018"/>
    <w:rsid w:val="00DA430D"/>
    <w:rsid w:val="00DB4E3C"/>
    <w:rsid w:val="00DC3F43"/>
    <w:rsid w:val="00DF47D8"/>
    <w:rsid w:val="00DF7DA0"/>
    <w:rsid w:val="00E074E9"/>
    <w:rsid w:val="00E448C9"/>
    <w:rsid w:val="00E47D4C"/>
    <w:rsid w:val="00E60E1A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DC1B-7B05-487A-A542-3C8D6737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7</cp:revision>
  <dcterms:created xsi:type="dcterms:W3CDTF">2015-12-11T17:07:00Z</dcterms:created>
  <dcterms:modified xsi:type="dcterms:W3CDTF">2015-12-11T18:04:00Z</dcterms:modified>
</cp:coreProperties>
</file>