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E" w:rsidRPr="007C1F8C" w:rsidRDefault="00BB3BD2" w:rsidP="007C1F8C">
      <w:pPr>
        <w:spacing w:before="120" w:after="0" w:line="240" w:lineRule="auto"/>
        <w:jc w:val="both"/>
        <w:rPr>
          <w:rFonts w:ascii="Trebuchet MS" w:eastAsia="Times New Roman" w:hAnsi="Trebuchet MS" w:cs="Times New Roman"/>
          <w:b/>
          <w:bCs/>
          <w:caps/>
          <w:sz w:val="20"/>
          <w:szCs w:val="20"/>
        </w:rPr>
      </w:pPr>
      <w:r w:rsidRPr="007C1F8C">
        <w:rPr>
          <w:rFonts w:ascii="Trebuchet MS" w:eastAsia="Times New Roman" w:hAnsi="Trebuchet MS" w:cs="Times New Roman"/>
          <w:b/>
          <w:bCs/>
          <w:caps/>
          <w:sz w:val="20"/>
          <w:szCs w:val="20"/>
        </w:rPr>
        <w:t>Procedura de prioritizare și selec</w:t>
      </w:r>
      <w:r w:rsidR="001D58B1">
        <w:rPr>
          <w:rFonts w:ascii="Trebuchet MS" w:eastAsia="Times New Roman" w:hAnsi="Trebuchet MS" w:cs="Times New Roman"/>
          <w:b/>
          <w:bCs/>
          <w:caps/>
          <w:sz w:val="20"/>
          <w:szCs w:val="20"/>
        </w:rPr>
        <w:t xml:space="preserve">tare </w:t>
      </w:r>
      <w:r w:rsidRPr="007C1F8C">
        <w:rPr>
          <w:rFonts w:ascii="Trebuchet MS" w:eastAsia="Times New Roman" w:hAnsi="Trebuchet MS" w:cs="Times New Roman"/>
          <w:b/>
          <w:bCs/>
          <w:caps/>
          <w:sz w:val="20"/>
          <w:szCs w:val="20"/>
        </w:rPr>
        <w:t>a proiectelor</w:t>
      </w:r>
      <w:r w:rsidR="00493403" w:rsidRPr="007C1F8C">
        <w:rPr>
          <w:rFonts w:ascii="Trebuchet MS" w:eastAsia="Times New Roman" w:hAnsi="Trebuchet MS" w:cs="Times New Roman"/>
          <w:b/>
          <w:bCs/>
          <w:caps/>
          <w:sz w:val="20"/>
          <w:szCs w:val="20"/>
        </w:rPr>
        <w:t xml:space="preserve"> </w:t>
      </w:r>
      <w:r w:rsidR="007C1F8C" w:rsidRPr="007C1F8C">
        <w:rPr>
          <w:rFonts w:ascii="Trebuchet MS" w:eastAsia="Times New Roman" w:hAnsi="Trebuchet MS" w:cs="Times New Roman"/>
          <w:b/>
          <w:bCs/>
          <w:caps/>
          <w:sz w:val="20"/>
          <w:szCs w:val="20"/>
        </w:rPr>
        <w:t>de către</w:t>
      </w:r>
      <w:r w:rsidR="0026307C">
        <w:rPr>
          <w:rFonts w:ascii="Trebuchet MS" w:eastAsia="Times New Roman" w:hAnsi="Trebuchet MS" w:cs="Times New Roman"/>
          <w:b/>
          <w:bCs/>
          <w:caps/>
          <w:sz w:val="20"/>
          <w:szCs w:val="20"/>
        </w:rPr>
        <w:t xml:space="preserve"> </w:t>
      </w:r>
      <w:r w:rsidR="00493403" w:rsidRPr="007C1F8C">
        <w:rPr>
          <w:rFonts w:ascii="Trebuchet MS" w:eastAsia="Times New Roman" w:hAnsi="Trebuchet MS" w:cs="Times New Roman"/>
          <w:b/>
          <w:bCs/>
          <w:caps/>
          <w:sz w:val="20"/>
          <w:szCs w:val="20"/>
        </w:rPr>
        <w:t>Autoritate</w:t>
      </w:r>
      <w:r w:rsidR="000E4E76" w:rsidRPr="007C1F8C">
        <w:rPr>
          <w:rFonts w:ascii="Trebuchet MS" w:eastAsia="Times New Roman" w:hAnsi="Trebuchet MS" w:cs="Times New Roman"/>
          <w:b/>
          <w:bCs/>
          <w:caps/>
          <w:sz w:val="20"/>
          <w:szCs w:val="20"/>
        </w:rPr>
        <w:t>A</w:t>
      </w:r>
      <w:r w:rsidR="00493403" w:rsidRPr="007C1F8C">
        <w:rPr>
          <w:rFonts w:ascii="Trebuchet MS" w:eastAsia="Times New Roman" w:hAnsi="Trebuchet MS" w:cs="Times New Roman"/>
          <w:b/>
          <w:bCs/>
          <w:caps/>
          <w:sz w:val="20"/>
          <w:szCs w:val="20"/>
        </w:rPr>
        <w:t xml:space="preserve"> urbană</w:t>
      </w:r>
    </w:p>
    <w:p w:rsidR="00A8750E" w:rsidRPr="007C1F8C" w:rsidRDefault="00A8750E" w:rsidP="00D93FB7">
      <w:pPr>
        <w:spacing w:before="120" w:after="0" w:line="240" w:lineRule="auto"/>
        <w:jc w:val="both"/>
        <w:rPr>
          <w:rFonts w:ascii="Trebuchet MS" w:eastAsia="Times New Roman" w:hAnsi="Trebuchet MS" w:cs="Times New Roman"/>
          <w:b/>
          <w:bCs/>
          <w:caps/>
          <w:sz w:val="20"/>
          <w:szCs w:val="20"/>
        </w:rPr>
      </w:pPr>
    </w:p>
    <w:p w:rsidR="007C1F8C" w:rsidRPr="007C1F8C" w:rsidRDefault="002F6C0E" w:rsidP="00D93FB7">
      <w:p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t>Prioritizarea și selec</w:t>
      </w:r>
      <w:r w:rsidR="0026307C">
        <w:rPr>
          <w:rFonts w:ascii="Trebuchet MS" w:eastAsia="Times New Roman" w:hAnsi="Trebuchet MS" w:cs="Times New Roman"/>
          <w:sz w:val="20"/>
          <w:szCs w:val="20"/>
        </w:rPr>
        <w:t xml:space="preserve">tarea </w:t>
      </w:r>
      <w:r w:rsidRPr="007C1F8C">
        <w:rPr>
          <w:rFonts w:ascii="Trebuchet MS" w:eastAsia="Times New Roman" w:hAnsi="Trebuchet MS" w:cs="Times New Roman"/>
          <w:sz w:val="20"/>
          <w:szCs w:val="20"/>
        </w:rPr>
        <w:t xml:space="preserve">proiectelor finanțabile în perioada 2014-2020 se va realiza pornind de la </w:t>
      </w:r>
      <w:r w:rsidR="000E4E76" w:rsidRPr="007C1F8C">
        <w:rPr>
          <w:rFonts w:ascii="Trebuchet MS" w:eastAsia="Times New Roman" w:hAnsi="Trebuchet MS" w:cs="Times New Roman"/>
          <w:sz w:val="20"/>
          <w:szCs w:val="20"/>
        </w:rPr>
        <w:t xml:space="preserve">lista scurtă de proiecte pentru </w:t>
      </w:r>
      <w:r w:rsidR="0026307C">
        <w:rPr>
          <w:rFonts w:ascii="Trebuchet MS" w:eastAsia="Times New Roman" w:hAnsi="Trebuchet MS" w:cs="Times New Roman"/>
          <w:sz w:val="20"/>
          <w:szCs w:val="20"/>
        </w:rPr>
        <w:t xml:space="preserve">fiecare proiect fiind </w:t>
      </w:r>
      <w:r w:rsidRPr="007C1F8C">
        <w:rPr>
          <w:rFonts w:ascii="Trebuchet MS" w:eastAsia="Times New Roman" w:hAnsi="Trebuchet MS" w:cs="Times New Roman"/>
          <w:sz w:val="20"/>
          <w:szCs w:val="20"/>
        </w:rPr>
        <w:t>întocmit</w:t>
      </w:r>
      <w:r w:rsidR="0026307C">
        <w:rPr>
          <w:rFonts w:ascii="Trebuchet MS" w:eastAsia="Times New Roman" w:hAnsi="Trebuchet MS" w:cs="Times New Roman"/>
          <w:sz w:val="20"/>
          <w:szCs w:val="20"/>
        </w:rPr>
        <w:t>ă o</w:t>
      </w:r>
      <w:r w:rsidRPr="007C1F8C">
        <w:rPr>
          <w:rFonts w:ascii="Trebuchet MS" w:eastAsia="Times New Roman" w:hAnsi="Trebuchet MS" w:cs="Times New Roman"/>
          <w:sz w:val="20"/>
          <w:szCs w:val="20"/>
        </w:rPr>
        <w:t xml:space="preserve"> </w:t>
      </w:r>
      <w:r w:rsidR="0026307C">
        <w:rPr>
          <w:rFonts w:ascii="Trebuchet MS" w:eastAsia="Times New Roman" w:hAnsi="Trebuchet MS" w:cs="Times New Roman"/>
          <w:sz w:val="20"/>
          <w:szCs w:val="20"/>
        </w:rPr>
        <w:t xml:space="preserve">fișă </w:t>
      </w:r>
      <w:r w:rsidRPr="007C1F8C">
        <w:rPr>
          <w:rFonts w:ascii="Trebuchet MS" w:eastAsia="Times New Roman" w:hAnsi="Trebuchet MS" w:cs="Times New Roman"/>
          <w:sz w:val="20"/>
          <w:szCs w:val="20"/>
        </w:rPr>
        <w:t>de</w:t>
      </w:r>
      <w:r w:rsidR="00D93FB7" w:rsidRPr="007C1F8C">
        <w:rPr>
          <w:rFonts w:ascii="Trebuchet MS" w:eastAsia="Times New Roman" w:hAnsi="Trebuchet MS" w:cs="Times New Roman"/>
          <w:sz w:val="20"/>
          <w:szCs w:val="20"/>
        </w:rPr>
        <w:t xml:space="preserve"> către </w:t>
      </w:r>
      <w:r w:rsidR="0026307C">
        <w:rPr>
          <w:rFonts w:ascii="Trebuchet MS" w:eastAsia="Times New Roman" w:hAnsi="Trebuchet MS" w:cs="Times New Roman"/>
          <w:sz w:val="20"/>
          <w:szCs w:val="20"/>
        </w:rPr>
        <w:t xml:space="preserve">municipiile reședință de județ. </w:t>
      </w:r>
      <w:r w:rsidRPr="007C1F8C">
        <w:rPr>
          <w:rFonts w:ascii="Trebuchet MS" w:eastAsia="Times New Roman" w:hAnsi="Trebuchet MS" w:cs="Times New Roman"/>
          <w:sz w:val="20"/>
          <w:szCs w:val="20"/>
        </w:rPr>
        <w:t xml:space="preserve"> </w:t>
      </w:r>
    </w:p>
    <w:p w:rsidR="009D112F" w:rsidRPr="007C1F8C" w:rsidRDefault="00C40DE0" w:rsidP="00D93FB7">
      <w:p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t>Procesul de prioritizare şi selec</w:t>
      </w:r>
      <w:r w:rsidR="00681F20">
        <w:rPr>
          <w:rFonts w:ascii="Trebuchet MS" w:eastAsia="Times New Roman" w:hAnsi="Trebuchet MS" w:cs="Times New Roman"/>
          <w:sz w:val="20"/>
          <w:szCs w:val="20"/>
        </w:rPr>
        <w:t xml:space="preserve">tare </w:t>
      </w:r>
      <w:r w:rsidRPr="007C1F8C">
        <w:rPr>
          <w:rFonts w:ascii="Trebuchet MS" w:eastAsia="Times New Roman" w:hAnsi="Trebuchet MS" w:cs="Times New Roman"/>
          <w:sz w:val="20"/>
          <w:szCs w:val="20"/>
        </w:rPr>
        <w:t xml:space="preserve">a proiectelor propuse de autorităţile publice reprezintă </w:t>
      </w:r>
      <w:r w:rsidR="00681F20">
        <w:rPr>
          <w:rFonts w:ascii="Trebuchet MS" w:eastAsia="Times New Roman" w:hAnsi="Trebuchet MS" w:cs="Times New Roman"/>
          <w:sz w:val="20"/>
          <w:szCs w:val="20"/>
        </w:rPr>
        <w:t xml:space="preserve">etapa stabilirii și identificării </w:t>
      </w:r>
      <w:r w:rsidRPr="007C1F8C">
        <w:rPr>
          <w:rFonts w:ascii="Trebuchet MS" w:eastAsia="Times New Roman" w:hAnsi="Trebuchet MS" w:cs="Times New Roman"/>
          <w:sz w:val="20"/>
          <w:szCs w:val="20"/>
        </w:rPr>
        <w:t>proiecte</w:t>
      </w:r>
      <w:r w:rsidR="00681F20">
        <w:rPr>
          <w:rFonts w:ascii="Trebuchet MS" w:eastAsia="Times New Roman" w:hAnsi="Trebuchet MS" w:cs="Times New Roman"/>
          <w:sz w:val="20"/>
          <w:szCs w:val="20"/>
        </w:rPr>
        <w:t>lor</w:t>
      </w:r>
      <w:r w:rsidRPr="007C1F8C">
        <w:rPr>
          <w:rFonts w:ascii="Trebuchet MS" w:eastAsia="Times New Roman" w:hAnsi="Trebuchet MS" w:cs="Times New Roman"/>
          <w:sz w:val="20"/>
          <w:szCs w:val="20"/>
        </w:rPr>
        <w:t xml:space="preserve"> propuse </w:t>
      </w:r>
      <w:r w:rsidR="001A016D" w:rsidRPr="007C1F8C">
        <w:rPr>
          <w:rFonts w:ascii="Trebuchet MS" w:eastAsia="Times New Roman" w:hAnsi="Trebuchet MS" w:cs="Times New Roman"/>
          <w:sz w:val="20"/>
          <w:szCs w:val="20"/>
        </w:rPr>
        <w:t xml:space="preserve">de autoritățile publice locale </w:t>
      </w:r>
      <w:r w:rsidR="00681F20">
        <w:rPr>
          <w:rFonts w:ascii="Trebuchet MS" w:eastAsia="Times New Roman" w:hAnsi="Trebuchet MS" w:cs="Times New Roman"/>
          <w:sz w:val="20"/>
          <w:szCs w:val="20"/>
        </w:rPr>
        <w:t xml:space="preserve">în </w:t>
      </w:r>
      <w:r w:rsidR="001A016D" w:rsidRPr="007C1F8C">
        <w:rPr>
          <w:rFonts w:ascii="Trebuchet MS" w:hAnsi="Trebuchet MS"/>
          <w:sz w:val="20"/>
          <w:szCs w:val="20"/>
        </w:rPr>
        <w:t>D</w:t>
      </w:r>
      <w:r w:rsidRPr="007C1F8C">
        <w:rPr>
          <w:rFonts w:ascii="Trebuchet MS" w:hAnsi="Trebuchet MS"/>
          <w:sz w:val="20"/>
          <w:szCs w:val="20"/>
        </w:rPr>
        <w:t>ocumentul</w:t>
      </w:r>
      <w:r w:rsidR="001A016D" w:rsidRPr="007C1F8C">
        <w:rPr>
          <w:rFonts w:ascii="Trebuchet MS" w:hAnsi="Trebuchet MS"/>
          <w:sz w:val="20"/>
          <w:szCs w:val="20"/>
        </w:rPr>
        <w:t xml:space="preserve"> J</w:t>
      </w:r>
      <w:r w:rsidRPr="007C1F8C">
        <w:rPr>
          <w:rFonts w:ascii="Trebuchet MS" w:hAnsi="Trebuchet MS"/>
          <w:sz w:val="20"/>
          <w:szCs w:val="20"/>
        </w:rPr>
        <w:t>ustificativ pentru finanțare din FESI 2014-2020.</w:t>
      </w:r>
      <w:r w:rsidR="00B012FE" w:rsidRPr="007C1F8C">
        <w:rPr>
          <w:rFonts w:ascii="Trebuchet MS" w:hAnsi="Trebuchet MS"/>
          <w:sz w:val="20"/>
          <w:szCs w:val="20"/>
        </w:rPr>
        <w:t xml:space="preserve"> </w:t>
      </w:r>
      <w:r w:rsidR="00B012FE" w:rsidRPr="007C1F8C">
        <w:rPr>
          <w:rFonts w:ascii="Trebuchet MS" w:eastAsia="Times New Roman" w:hAnsi="Trebuchet MS" w:cs="Times New Roman"/>
          <w:sz w:val="20"/>
          <w:szCs w:val="20"/>
        </w:rPr>
        <w:t>Procesul de prioritizare şi selec</w:t>
      </w:r>
      <w:r w:rsidR="00681F20">
        <w:rPr>
          <w:rFonts w:ascii="Trebuchet MS" w:eastAsia="Times New Roman" w:hAnsi="Trebuchet MS" w:cs="Times New Roman"/>
          <w:sz w:val="20"/>
          <w:szCs w:val="20"/>
        </w:rPr>
        <w:t xml:space="preserve">tare </w:t>
      </w:r>
      <w:r w:rsidR="00B012FE" w:rsidRPr="007C1F8C">
        <w:rPr>
          <w:rFonts w:ascii="Trebuchet MS" w:eastAsia="Times New Roman" w:hAnsi="Trebuchet MS" w:cs="Times New Roman"/>
          <w:sz w:val="20"/>
          <w:szCs w:val="20"/>
        </w:rPr>
        <w:t>a proiectelor se va desfăşura la nivelul Autorităţii Urbane şi îi va implica pe toţi experţii componenţi ai acesteia.</w:t>
      </w:r>
    </w:p>
    <w:p w:rsidR="00B012FE" w:rsidRPr="007C1F8C" w:rsidRDefault="000E591F" w:rsidP="00D93FB7">
      <w:p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t>Procesul de prioritizare şi selec</w:t>
      </w:r>
      <w:r w:rsidR="00681F20">
        <w:rPr>
          <w:rFonts w:ascii="Trebuchet MS" w:eastAsia="Times New Roman" w:hAnsi="Trebuchet MS" w:cs="Times New Roman"/>
          <w:sz w:val="20"/>
          <w:szCs w:val="20"/>
        </w:rPr>
        <w:t xml:space="preserve">tare </w:t>
      </w:r>
      <w:r w:rsidRPr="007C1F8C">
        <w:rPr>
          <w:rFonts w:ascii="Trebuchet MS" w:eastAsia="Times New Roman" w:hAnsi="Trebuchet MS" w:cs="Times New Roman"/>
          <w:sz w:val="20"/>
          <w:szCs w:val="20"/>
        </w:rPr>
        <w:t xml:space="preserve">începe odată cu acceptarea de către Autoritatea de Management pentru Programul Operaţional Regional </w:t>
      </w:r>
      <w:r w:rsidR="00AB63B2" w:rsidRPr="007C1F8C">
        <w:rPr>
          <w:rFonts w:ascii="Trebuchet MS" w:eastAsia="Times New Roman" w:hAnsi="Trebuchet MS" w:cs="Times New Roman"/>
          <w:sz w:val="20"/>
          <w:szCs w:val="20"/>
        </w:rPr>
        <w:t>a rezultatului evaluării SIDU şi a P</w:t>
      </w:r>
      <w:r w:rsidR="007C1F8C">
        <w:rPr>
          <w:rFonts w:ascii="Trebuchet MS" w:eastAsia="Times New Roman" w:hAnsi="Trebuchet MS" w:cs="Times New Roman"/>
          <w:sz w:val="20"/>
          <w:szCs w:val="20"/>
        </w:rPr>
        <w:t xml:space="preserve">MUD. Astfel, în termen de maxim ... </w:t>
      </w:r>
      <w:r w:rsidR="00AB63B2" w:rsidRPr="007C1F8C">
        <w:rPr>
          <w:rFonts w:ascii="Trebuchet MS" w:eastAsia="Times New Roman" w:hAnsi="Trebuchet MS" w:cs="Times New Roman"/>
          <w:sz w:val="20"/>
          <w:szCs w:val="20"/>
        </w:rPr>
        <w:t>zile lucrătoare de la acceptul Autorităţii de Management pentru Programul Operaţional Regional</w:t>
      </w:r>
      <w:r w:rsidR="000E4E76" w:rsidRPr="007C1F8C">
        <w:rPr>
          <w:rFonts w:ascii="Trebuchet MS" w:eastAsia="Times New Roman" w:hAnsi="Trebuchet MS" w:cs="Times New Roman"/>
          <w:sz w:val="20"/>
          <w:szCs w:val="20"/>
        </w:rPr>
        <w:t>, Autoritatea Urbană va demara acest proces.</w:t>
      </w:r>
    </w:p>
    <w:p w:rsidR="00B012FE" w:rsidRPr="007C1F8C" w:rsidRDefault="00B012FE" w:rsidP="007C1F8C">
      <w:p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t>Procesul de prioritizare şi selec</w:t>
      </w:r>
      <w:r w:rsidR="00681F20">
        <w:rPr>
          <w:rFonts w:ascii="Trebuchet MS" w:eastAsia="Times New Roman" w:hAnsi="Trebuchet MS" w:cs="Times New Roman"/>
          <w:sz w:val="20"/>
          <w:szCs w:val="20"/>
        </w:rPr>
        <w:t xml:space="preserve">tare </w:t>
      </w:r>
      <w:r w:rsidRPr="007C1F8C">
        <w:rPr>
          <w:rFonts w:ascii="Trebuchet MS" w:eastAsia="Times New Roman" w:hAnsi="Trebuchet MS" w:cs="Times New Roman"/>
          <w:sz w:val="20"/>
          <w:szCs w:val="20"/>
        </w:rPr>
        <w:t>va fi format din două etape:</w:t>
      </w:r>
    </w:p>
    <w:p w:rsidR="00B012FE" w:rsidRPr="007C1F8C" w:rsidRDefault="00514F1A" w:rsidP="007C1F8C">
      <w:pPr>
        <w:pStyle w:val="ListParagraph"/>
        <w:numPr>
          <w:ilvl w:val="0"/>
          <w:numId w:val="20"/>
        </w:num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t xml:space="preserve">Evaluarea </w:t>
      </w:r>
      <w:r w:rsidR="00D93FB7" w:rsidRPr="007C1F8C">
        <w:rPr>
          <w:rFonts w:ascii="Trebuchet MS" w:eastAsia="Times New Roman" w:hAnsi="Trebuchet MS" w:cs="Times New Roman"/>
          <w:sz w:val="20"/>
          <w:szCs w:val="20"/>
        </w:rPr>
        <w:t>siste</w:t>
      </w:r>
      <w:r w:rsidRPr="007C1F8C">
        <w:rPr>
          <w:rFonts w:ascii="Trebuchet MS" w:eastAsia="Times New Roman" w:hAnsi="Trebuchet MS" w:cs="Times New Roman"/>
          <w:sz w:val="20"/>
          <w:szCs w:val="20"/>
        </w:rPr>
        <w:t>m</w:t>
      </w:r>
      <w:r w:rsidR="00681F20">
        <w:rPr>
          <w:rFonts w:ascii="Trebuchet MS" w:eastAsia="Times New Roman" w:hAnsi="Trebuchet MS" w:cs="Times New Roman"/>
          <w:sz w:val="20"/>
          <w:szCs w:val="20"/>
        </w:rPr>
        <w:t xml:space="preserve">ică </w:t>
      </w:r>
    </w:p>
    <w:p w:rsidR="009D112F" w:rsidRPr="007C1F8C" w:rsidRDefault="00B012FE" w:rsidP="007C1F8C">
      <w:pPr>
        <w:pStyle w:val="ListParagraph"/>
        <w:numPr>
          <w:ilvl w:val="0"/>
          <w:numId w:val="20"/>
        </w:num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t>Evaluarea analitică</w:t>
      </w:r>
    </w:p>
    <w:p w:rsidR="00B012FE" w:rsidRPr="007C1F8C" w:rsidRDefault="00B012FE" w:rsidP="00D93FB7">
      <w:pPr>
        <w:pStyle w:val="ListParagraph"/>
        <w:spacing w:before="120" w:after="120" w:line="240" w:lineRule="auto"/>
        <w:ind w:left="360"/>
        <w:jc w:val="both"/>
        <w:rPr>
          <w:rFonts w:ascii="Trebuchet MS" w:eastAsia="Times New Roman" w:hAnsi="Trebuchet MS" w:cs="Times New Roman"/>
          <w:sz w:val="20"/>
          <w:szCs w:val="20"/>
        </w:rPr>
      </w:pPr>
    </w:p>
    <w:p w:rsidR="00B012FE" w:rsidRPr="007C1F8C" w:rsidRDefault="00B012FE" w:rsidP="00D93FB7">
      <w:pPr>
        <w:pStyle w:val="ListParagraph"/>
        <w:spacing w:before="120" w:after="120" w:line="240" w:lineRule="auto"/>
        <w:ind w:left="360"/>
        <w:jc w:val="both"/>
        <w:rPr>
          <w:rFonts w:ascii="Trebuchet MS" w:eastAsia="Times New Roman" w:hAnsi="Trebuchet MS" w:cs="Times New Roman"/>
          <w:sz w:val="20"/>
          <w:szCs w:val="20"/>
        </w:rPr>
      </w:pPr>
    </w:p>
    <w:p w:rsidR="00B012FE" w:rsidRPr="007C1F8C" w:rsidRDefault="00B31CD2" w:rsidP="007C1F8C">
      <w:pPr>
        <w:pStyle w:val="ListParagraph"/>
        <w:numPr>
          <w:ilvl w:val="0"/>
          <w:numId w:val="21"/>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Times New Roman"/>
          <w:b/>
          <w:sz w:val="20"/>
          <w:szCs w:val="20"/>
        </w:rPr>
        <w:t xml:space="preserve">Evaluarea </w:t>
      </w:r>
      <w:r w:rsidR="00687DAB">
        <w:rPr>
          <w:rFonts w:ascii="Trebuchet MS" w:eastAsia="Times New Roman" w:hAnsi="Trebuchet MS" w:cs="Times New Roman"/>
          <w:b/>
          <w:sz w:val="20"/>
          <w:szCs w:val="20"/>
        </w:rPr>
        <w:t>sistemică</w:t>
      </w:r>
    </w:p>
    <w:p w:rsidR="003D1ED2" w:rsidRPr="007C1F8C" w:rsidRDefault="003D1ED2" w:rsidP="00D93FB7">
      <w:pPr>
        <w:spacing w:after="0" w:line="240" w:lineRule="auto"/>
        <w:jc w:val="both"/>
        <w:rPr>
          <w:rFonts w:ascii="Trebuchet MS" w:hAnsi="Trebuchet MS"/>
          <w:sz w:val="20"/>
          <w:szCs w:val="20"/>
        </w:rPr>
      </w:pPr>
      <w:r w:rsidRPr="007C1F8C">
        <w:rPr>
          <w:rFonts w:ascii="Trebuchet MS" w:hAnsi="Trebuchet MS"/>
          <w:sz w:val="20"/>
          <w:szCs w:val="20"/>
        </w:rPr>
        <w:t>Această abordare are la bază luarea în considerare a nevoilor diferitelor tipuri</w:t>
      </w:r>
      <w:r w:rsidR="00C44899" w:rsidRPr="007C1F8C">
        <w:rPr>
          <w:rFonts w:ascii="Trebuchet MS" w:hAnsi="Trebuchet MS"/>
          <w:sz w:val="20"/>
          <w:szCs w:val="20"/>
        </w:rPr>
        <w:t xml:space="preserve"> </w:t>
      </w:r>
      <w:r w:rsidR="0044277C" w:rsidRPr="007C1F8C">
        <w:rPr>
          <w:rFonts w:ascii="Trebuchet MS" w:hAnsi="Trebuchet MS"/>
          <w:sz w:val="20"/>
          <w:szCs w:val="20"/>
        </w:rPr>
        <w:t xml:space="preserve">de categorii </w:t>
      </w:r>
      <w:r w:rsidR="00C44899" w:rsidRPr="007C1F8C">
        <w:rPr>
          <w:rFonts w:ascii="Trebuchet MS" w:hAnsi="Trebuchet MS"/>
          <w:sz w:val="20"/>
          <w:szCs w:val="20"/>
        </w:rPr>
        <w:t xml:space="preserve">de potenţiali </w:t>
      </w:r>
      <w:r w:rsidR="0044277C" w:rsidRPr="007C1F8C">
        <w:rPr>
          <w:rFonts w:ascii="Trebuchet MS" w:hAnsi="Trebuchet MS"/>
          <w:sz w:val="20"/>
          <w:szCs w:val="20"/>
        </w:rPr>
        <w:t xml:space="preserve"> beneficiari finali ai proiectelor</w:t>
      </w:r>
      <w:r w:rsidRPr="007C1F8C">
        <w:rPr>
          <w:rFonts w:ascii="Trebuchet MS" w:hAnsi="Trebuchet MS"/>
          <w:sz w:val="20"/>
          <w:szCs w:val="20"/>
        </w:rPr>
        <w:t>, astfel:</w:t>
      </w:r>
    </w:p>
    <w:p w:rsidR="003D1ED2" w:rsidRPr="007C1F8C" w:rsidRDefault="00C44899" w:rsidP="00D93FB7">
      <w:pPr>
        <w:pStyle w:val="ListParagraph"/>
        <w:numPr>
          <w:ilvl w:val="0"/>
          <w:numId w:val="16"/>
        </w:numPr>
        <w:spacing w:after="0" w:line="240" w:lineRule="auto"/>
        <w:jc w:val="both"/>
        <w:rPr>
          <w:rFonts w:ascii="Trebuchet MS" w:hAnsi="Trebuchet MS" w:cs="Tahoma"/>
          <w:sz w:val="20"/>
          <w:szCs w:val="20"/>
        </w:rPr>
      </w:pPr>
      <w:r w:rsidRPr="007C1F8C">
        <w:rPr>
          <w:rFonts w:ascii="Trebuchet MS" w:hAnsi="Trebuchet MS" w:cs="Tahoma"/>
          <w:sz w:val="20"/>
          <w:szCs w:val="20"/>
        </w:rPr>
        <w:t>Nevoile cetățenilor cuprind</w:t>
      </w:r>
      <w:r w:rsidR="003D1ED2" w:rsidRPr="007C1F8C">
        <w:rPr>
          <w:rFonts w:ascii="Trebuchet MS" w:hAnsi="Trebuchet MS" w:cs="Tahoma"/>
          <w:sz w:val="20"/>
          <w:szCs w:val="20"/>
        </w:rPr>
        <w:t xml:space="preserve"> următoarele </w:t>
      </w:r>
      <w:r w:rsidRPr="007C1F8C">
        <w:rPr>
          <w:rFonts w:ascii="Trebuchet MS" w:hAnsi="Trebuchet MS" w:cs="Tahoma"/>
          <w:sz w:val="20"/>
          <w:szCs w:val="20"/>
        </w:rPr>
        <w:t>aspecte</w:t>
      </w:r>
      <w:r w:rsidR="003D1ED2" w:rsidRPr="007C1F8C">
        <w:rPr>
          <w:rFonts w:ascii="Trebuchet MS" w:hAnsi="Trebuchet MS" w:cs="Tahoma"/>
          <w:sz w:val="20"/>
          <w:szCs w:val="20"/>
        </w:rPr>
        <w:t>: oportunități (locuri de muncă, piețe, educație, sănătate, etc.); locuințe și infrastructură de bază (electricitate, gaz, apă, etc.); conectivitate (drumuri, autostrăzi, aeroporturi, căi ferate, etc.); administrație eficace și eficientă; calitatea vieții.</w:t>
      </w:r>
    </w:p>
    <w:p w:rsidR="003D1ED2" w:rsidRPr="007C1F8C" w:rsidRDefault="00C44899" w:rsidP="00D93FB7">
      <w:pPr>
        <w:pStyle w:val="ListParagraph"/>
        <w:numPr>
          <w:ilvl w:val="0"/>
          <w:numId w:val="16"/>
        </w:numPr>
        <w:spacing w:after="0" w:line="240" w:lineRule="auto"/>
        <w:jc w:val="both"/>
        <w:rPr>
          <w:rFonts w:ascii="Trebuchet MS" w:hAnsi="Trebuchet MS" w:cs="Tahoma"/>
          <w:sz w:val="20"/>
          <w:szCs w:val="20"/>
        </w:rPr>
      </w:pPr>
      <w:r w:rsidRPr="007C1F8C">
        <w:rPr>
          <w:rFonts w:ascii="Trebuchet MS" w:hAnsi="Trebuchet MS" w:cs="Tahoma"/>
          <w:sz w:val="20"/>
          <w:szCs w:val="20"/>
        </w:rPr>
        <w:t xml:space="preserve">Nevoile </w:t>
      </w:r>
      <w:r w:rsidR="003D1ED2" w:rsidRPr="007C1F8C">
        <w:rPr>
          <w:rFonts w:ascii="Trebuchet MS" w:hAnsi="Trebuchet MS" w:cs="Tahoma"/>
          <w:sz w:val="20"/>
          <w:szCs w:val="20"/>
        </w:rPr>
        <w:t xml:space="preserve">sectorului privat </w:t>
      </w:r>
      <w:r w:rsidRPr="007C1F8C">
        <w:rPr>
          <w:rFonts w:ascii="Trebuchet MS" w:hAnsi="Trebuchet MS" w:cs="Tahoma"/>
          <w:sz w:val="20"/>
          <w:szCs w:val="20"/>
        </w:rPr>
        <w:t>cuprind următoarele aspecte</w:t>
      </w:r>
      <w:r w:rsidR="003D1ED2" w:rsidRPr="007C1F8C">
        <w:rPr>
          <w:rFonts w:ascii="Trebuchet MS" w:hAnsi="Trebuchet MS" w:cs="Tahoma"/>
          <w:sz w:val="20"/>
          <w:szCs w:val="20"/>
        </w:rPr>
        <w:t>: forță de muncă calificată; terenuri, spații de birouri și infrastructură de bază (electricitate, gaz, apă, etc.); conectivitate (drumuri, autostrăzi, aeroporturi, căi ferate, etc.); administrație eficace și eficientă; clustere.</w:t>
      </w:r>
    </w:p>
    <w:p w:rsidR="003D1ED2" w:rsidRPr="007C1F8C" w:rsidRDefault="00C44899" w:rsidP="00D93FB7">
      <w:pPr>
        <w:pStyle w:val="ListParagraph"/>
        <w:numPr>
          <w:ilvl w:val="0"/>
          <w:numId w:val="16"/>
        </w:numPr>
        <w:spacing w:after="0" w:line="240" w:lineRule="auto"/>
        <w:jc w:val="both"/>
        <w:rPr>
          <w:rFonts w:ascii="Trebuchet MS" w:hAnsi="Trebuchet MS"/>
          <w:sz w:val="20"/>
          <w:szCs w:val="20"/>
        </w:rPr>
      </w:pPr>
      <w:r w:rsidRPr="007C1F8C">
        <w:rPr>
          <w:rFonts w:ascii="Trebuchet MS" w:hAnsi="Trebuchet MS" w:cs="Tahoma"/>
          <w:sz w:val="20"/>
          <w:szCs w:val="20"/>
        </w:rPr>
        <w:t xml:space="preserve">Nevoile </w:t>
      </w:r>
      <w:r w:rsidR="003D1ED2" w:rsidRPr="007C1F8C">
        <w:rPr>
          <w:rFonts w:ascii="Trebuchet MS" w:hAnsi="Trebuchet MS" w:cs="Tahoma"/>
          <w:sz w:val="20"/>
          <w:szCs w:val="20"/>
        </w:rPr>
        <w:t xml:space="preserve">turiștilor </w:t>
      </w:r>
      <w:r w:rsidRPr="007C1F8C">
        <w:rPr>
          <w:rFonts w:ascii="Trebuchet MS" w:hAnsi="Trebuchet MS" w:cs="Tahoma"/>
          <w:sz w:val="20"/>
          <w:szCs w:val="20"/>
        </w:rPr>
        <w:t>cuprind următoarele aspecte</w:t>
      </w:r>
      <w:r w:rsidR="003D1ED2" w:rsidRPr="007C1F8C">
        <w:rPr>
          <w:rFonts w:ascii="Trebuchet MS" w:hAnsi="Trebuchet MS" w:cs="Tahoma"/>
          <w:sz w:val="20"/>
          <w:szCs w:val="20"/>
        </w:rPr>
        <w:t xml:space="preserve">: </w:t>
      </w:r>
      <w:r w:rsidR="003D1ED2" w:rsidRPr="007C1F8C">
        <w:rPr>
          <w:rFonts w:ascii="Trebuchet MS" w:hAnsi="Trebuchet MS"/>
          <w:sz w:val="20"/>
          <w:szCs w:val="20"/>
        </w:rPr>
        <w:t>obiective turistice; informații; conectivitate; cazare; servicii de calitate.</w:t>
      </w:r>
    </w:p>
    <w:p w:rsidR="00F0493F" w:rsidRDefault="00C44899" w:rsidP="00F0493F">
      <w:pPr>
        <w:pStyle w:val="ListParagraph"/>
        <w:numPr>
          <w:ilvl w:val="0"/>
          <w:numId w:val="16"/>
        </w:numPr>
        <w:spacing w:after="0" w:line="240" w:lineRule="auto"/>
        <w:jc w:val="both"/>
        <w:rPr>
          <w:rFonts w:ascii="Trebuchet MS" w:hAnsi="Trebuchet MS"/>
          <w:sz w:val="20"/>
          <w:szCs w:val="20"/>
        </w:rPr>
      </w:pPr>
      <w:r w:rsidRPr="007C1F8C">
        <w:rPr>
          <w:rFonts w:ascii="Trebuchet MS" w:hAnsi="Trebuchet MS" w:cs="Tahoma"/>
          <w:sz w:val="20"/>
          <w:szCs w:val="20"/>
        </w:rPr>
        <w:t>fiecare proiect va fi evaluat şi în funcție de s</w:t>
      </w:r>
      <w:r w:rsidRPr="007C1F8C">
        <w:rPr>
          <w:rFonts w:ascii="Trebuchet MS" w:hAnsi="Trebuchet MS" w:cs="Tahoma"/>
          <w:i/>
          <w:sz w:val="20"/>
          <w:szCs w:val="20"/>
          <w:u w:val="single"/>
        </w:rPr>
        <w:t>ustenabilitatea financiară</w:t>
      </w:r>
      <w:r w:rsidRPr="007C1F8C">
        <w:rPr>
          <w:rFonts w:ascii="Trebuchet MS" w:hAnsi="Trebuchet MS" w:cs="Tahoma"/>
          <w:sz w:val="20"/>
          <w:szCs w:val="20"/>
        </w:rPr>
        <w:t xml:space="preserve"> (adică, în funcție de cuantumul cheltuielilor de operare și mentenanță pe care proiectul le va genera odată ce va fi finalizat)</w:t>
      </w:r>
      <w:r w:rsidRPr="007C1F8C">
        <w:rPr>
          <w:rFonts w:ascii="Trebuchet MS" w:hAnsi="Trebuchet MS"/>
          <w:sz w:val="20"/>
          <w:szCs w:val="20"/>
        </w:rPr>
        <w:t>;</w:t>
      </w:r>
    </w:p>
    <w:p w:rsidR="00B012FE" w:rsidRPr="00F0493F" w:rsidRDefault="00C44899" w:rsidP="00F0493F">
      <w:pPr>
        <w:pStyle w:val="ListParagraph"/>
        <w:numPr>
          <w:ilvl w:val="0"/>
          <w:numId w:val="16"/>
        </w:numPr>
        <w:spacing w:after="0" w:line="240" w:lineRule="auto"/>
        <w:jc w:val="both"/>
        <w:rPr>
          <w:rFonts w:ascii="Trebuchet MS" w:hAnsi="Trebuchet MS"/>
          <w:sz w:val="20"/>
          <w:szCs w:val="20"/>
        </w:rPr>
      </w:pPr>
      <w:r w:rsidRPr="00F0493F">
        <w:rPr>
          <w:rFonts w:ascii="Trebuchet MS" w:eastAsia="Times New Roman" w:hAnsi="Trebuchet MS" w:cs="Times New Roman"/>
          <w:sz w:val="20"/>
          <w:szCs w:val="20"/>
        </w:rPr>
        <w:t xml:space="preserve">proiectele pot fi evaluate ținând cont şi de aspectele orizontale: </w:t>
      </w:r>
      <w:r w:rsidRPr="00F0493F">
        <w:rPr>
          <w:rFonts w:ascii="Trebuchet MS" w:eastAsia="Times New Roman" w:hAnsi="Trebuchet MS" w:cs="Times New Roman"/>
          <w:i/>
          <w:sz w:val="20"/>
          <w:szCs w:val="20"/>
        </w:rPr>
        <w:t>incluziune socială</w:t>
      </w:r>
      <w:r w:rsidRPr="00F0493F">
        <w:rPr>
          <w:rFonts w:ascii="Trebuchet MS" w:eastAsia="Times New Roman" w:hAnsi="Trebuchet MS" w:cs="Times New Roman"/>
          <w:sz w:val="20"/>
          <w:szCs w:val="20"/>
        </w:rPr>
        <w:t xml:space="preserve"> și </w:t>
      </w:r>
      <w:r w:rsidRPr="00F0493F">
        <w:rPr>
          <w:rFonts w:ascii="Trebuchet MS" w:eastAsia="Times New Roman" w:hAnsi="Trebuchet MS" w:cs="Times New Roman"/>
          <w:i/>
          <w:sz w:val="20"/>
          <w:szCs w:val="20"/>
        </w:rPr>
        <w:t>schimbări climatice</w:t>
      </w:r>
      <w:r w:rsidRPr="00F0493F">
        <w:rPr>
          <w:rFonts w:ascii="Trebuchet MS" w:eastAsia="Times New Roman" w:hAnsi="Trebuchet MS" w:cs="Times New Roman"/>
          <w:sz w:val="20"/>
          <w:szCs w:val="20"/>
        </w:rPr>
        <w:t xml:space="preserve"> (pentru a determina modul în care implementarea acestor proiecte ar ajuta la atingerea acestor deziderate);</w:t>
      </w:r>
    </w:p>
    <w:p w:rsidR="00F0493F" w:rsidRDefault="002F6C0E" w:rsidP="00F0493F">
      <w:pPr>
        <w:spacing w:before="120" w:after="120" w:line="240" w:lineRule="auto"/>
        <w:jc w:val="both"/>
        <w:rPr>
          <w:rFonts w:ascii="Trebuchet MS" w:eastAsia="Times New Roman" w:hAnsi="Trebuchet MS" w:cs="Times New Roman"/>
          <w:b/>
          <w:sz w:val="20"/>
          <w:szCs w:val="20"/>
        </w:rPr>
      </w:pPr>
      <w:r w:rsidRPr="00F0493F">
        <w:rPr>
          <w:rFonts w:ascii="Trebuchet MS" w:eastAsia="Times New Roman" w:hAnsi="Trebuchet MS" w:cs="Times New Roman"/>
          <w:b/>
          <w:sz w:val="20"/>
          <w:szCs w:val="20"/>
        </w:rPr>
        <w:t xml:space="preserve">Completarea matricei de prioritizare de către fiecare </w:t>
      </w:r>
      <w:r w:rsidR="00FB442F" w:rsidRPr="00F0493F">
        <w:rPr>
          <w:rFonts w:ascii="Trebuchet MS" w:eastAsia="Times New Roman" w:hAnsi="Trebuchet MS" w:cs="Times New Roman"/>
          <w:b/>
          <w:sz w:val="20"/>
          <w:szCs w:val="20"/>
        </w:rPr>
        <w:t>membru component al Autorității Urbane</w:t>
      </w:r>
      <w:r w:rsidR="00012B3F" w:rsidRPr="00F0493F">
        <w:rPr>
          <w:rFonts w:ascii="Trebuchet MS" w:eastAsia="Times New Roman" w:hAnsi="Trebuchet MS" w:cs="Times New Roman"/>
          <w:b/>
          <w:sz w:val="20"/>
          <w:szCs w:val="20"/>
        </w:rPr>
        <w:t>.</w:t>
      </w:r>
    </w:p>
    <w:p w:rsidR="00722632" w:rsidRPr="00F0493F" w:rsidRDefault="00012B3F" w:rsidP="00F0493F">
      <w:pPr>
        <w:spacing w:before="120" w:after="120" w:line="240" w:lineRule="auto"/>
        <w:jc w:val="both"/>
        <w:rPr>
          <w:rFonts w:ascii="Trebuchet MS" w:eastAsia="Times New Roman" w:hAnsi="Trebuchet MS" w:cs="Times New Roman"/>
          <w:b/>
          <w:sz w:val="20"/>
          <w:szCs w:val="20"/>
        </w:rPr>
      </w:pPr>
      <w:r w:rsidRPr="00F0493F">
        <w:rPr>
          <w:rFonts w:ascii="Trebuchet MS" w:eastAsia="Times New Roman" w:hAnsi="Trebuchet MS" w:cs="Times New Roman"/>
          <w:b/>
          <w:sz w:val="20"/>
          <w:szCs w:val="20"/>
        </w:rPr>
        <w:t>În matricea de prioritizare, pe baza fişelor de proiect întocmite de autorităţile locale, vor fi pun</w:t>
      </w:r>
      <w:r w:rsidR="0053465F" w:rsidRPr="00F0493F">
        <w:rPr>
          <w:rFonts w:ascii="Trebuchet MS" w:eastAsia="Times New Roman" w:hAnsi="Trebuchet MS" w:cs="Times New Roman"/>
          <w:b/>
          <w:sz w:val="20"/>
          <w:szCs w:val="20"/>
        </w:rPr>
        <w:t>ctate</w:t>
      </w:r>
      <w:r w:rsidRPr="00F0493F">
        <w:rPr>
          <w:rFonts w:ascii="Trebuchet MS" w:eastAsia="Times New Roman" w:hAnsi="Trebuchet MS" w:cs="Times New Roman"/>
          <w:b/>
          <w:sz w:val="20"/>
          <w:szCs w:val="20"/>
        </w:rPr>
        <w:t xml:space="preserve"> toate proiectele componente ale listei scurte.</w:t>
      </w:r>
    </w:p>
    <w:p w:rsidR="00722632" w:rsidRPr="007C1F8C" w:rsidRDefault="00D07EB7" w:rsidP="00D93FB7">
      <w:pPr>
        <w:spacing w:before="120" w:after="120" w:line="240" w:lineRule="auto"/>
        <w:jc w:val="both"/>
        <w:rPr>
          <w:rFonts w:ascii="Trebuchet MS" w:eastAsia="Times New Roman" w:hAnsi="Trebuchet MS" w:cs="Times New Roman"/>
          <w:b/>
          <w:sz w:val="20"/>
          <w:szCs w:val="20"/>
        </w:rPr>
      </w:pPr>
      <w:r>
        <w:rPr>
          <w:rFonts w:ascii="Trebuchet MS" w:eastAsia="Times New Roman" w:hAnsi="Trebuchet MS" w:cs="Times New Roman"/>
          <w:b/>
          <w:sz w:val="20"/>
          <w:szCs w:val="20"/>
        </w:rPr>
        <w:t>Criteriile ut</w:t>
      </w:r>
      <w:r w:rsidR="00396469" w:rsidRPr="007C1F8C">
        <w:rPr>
          <w:rFonts w:ascii="Trebuchet MS" w:eastAsia="Times New Roman" w:hAnsi="Trebuchet MS" w:cs="Times New Roman"/>
          <w:b/>
          <w:sz w:val="20"/>
          <w:szCs w:val="20"/>
        </w:rPr>
        <w:t xml:space="preserve">ilizate în </w:t>
      </w:r>
      <w:r w:rsidR="00514F1A" w:rsidRPr="007C1F8C">
        <w:rPr>
          <w:rFonts w:ascii="Trebuchet MS" w:eastAsia="Times New Roman" w:hAnsi="Trebuchet MS" w:cs="Times New Roman"/>
          <w:b/>
          <w:sz w:val="20"/>
          <w:szCs w:val="20"/>
        </w:rPr>
        <w:t>evaluarea si</w:t>
      </w:r>
      <w:r>
        <w:rPr>
          <w:rFonts w:ascii="Trebuchet MS" w:eastAsia="Times New Roman" w:hAnsi="Trebuchet MS" w:cs="Times New Roman"/>
          <w:b/>
          <w:sz w:val="20"/>
          <w:szCs w:val="20"/>
        </w:rPr>
        <w:t>stemică</w:t>
      </w:r>
      <w:r w:rsidR="00396469" w:rsidRPr="007C1F8C">
        <w:rPr>
          <w:rFonts w:ascii="Trebuchet MS" w:eastAsia="Times New Roman" w:hAnsi="Trebuchet MS" w:cs="Times New Roman"/>
          <w:b/>
          <w:sz w:val="20"/>
          <w:szCs w:val="20"/>
        </w:rPr>
        <w:t>:</w:t>
      </w:r>
    </w:p>
    <w:p w:rsidR="00396469" w:rsidRPr="007C1F8C" w:rsidRDefault="00396469" w:rsidP="00D93FB7">
      <w:pPr>
        <w:pStyle w:val="ListParagraph"/>
        <w:numPr>
          <w:ilvl w:val="0"/>
          <w:numId w:val="18"/>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Arial"/>
          <w:bCs/>
          <w:sz w:val="20"/>
          <w:szCs w:val="20"/>
        </w:rPr>
        <w:t>Beneficii pentru cetățeni</w:t>
      </w:r>
    </w:p>
    <w:p w:rsidR="00396469" w:rsidRPr="007C1F8C" w:rsidRDefault="00396469" w:rsidP="00D93FB7">
      <w:pPr>
        <w:pStyle w:val="ListParagraph"/>
        <w:numPr>
          <w:ilvl w:val="0"/>
          <w:numId w:val="18"/>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Arial"/>
          <w:bCs/>
          <w:sz w:val="20"/>
          <w:szCs w:val="20"/>
        </w:rPr>
        <w:t>Beneficii pentru mediul privat</w:t>
      </w:r>
    </w:p>
    <w:p w:rsidR="00396469" w:rsidRPr="007C1F8C" w:rsidRDefault="00396469" w:rsidP="00D93FB7">
      <w:pPr>
        <w:pStyle w:val="ListParagraph"/>
        <w:numPr>
          <w:ilvl w:val="0"/>
          <w:numId w:val="18"/>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Arial"/>
          <w:bCs/>
          <w:sz w:val="20"/>
          <w:szCs w:val="20"/>
        </w:rPr>
        <w:t>Beneficii pentru turiști</w:t>
      </w:r>
    </w:p>
    <w:p w:rsidR="00396469" w:rsidRPr="007C1F8C" w:rsidRDefault="00396469" w:rsidP="00D93FB7">
      <w:pPr>
        <w:pStyle w:val="ListParagraph"/>
        <w:numPr>
          <w:ilvl w:val="0"/>
          <w:numId w:val="18"/>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Arial"/>
          <w:bCs/>
          <w:sz w:val="20"/>
          <w:szCs w:val="20"/>
        </w:rPr>
        <w:lastRenderedPageBreak/>
        <w:t>Sustenabilitatea financiară a proiectului</w:t>
      </w:r>
    </w:p>
    <w:p w:rsidR="00396469" w:rsidRPr="007C1F8C" w:rsidRDefault="00396469" w:rsidP="00D93FB7">
      <w:pPr>
        <w:pStyle w:val="ListParagraph"/>
        <w:numPr>
          <w:ilvl w:val="0"/>
          <w:numId w:val="18"/>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Arial"/>
          <w:bCs/>
          <w:sz w:val="20"/>
          <w:szCs w:val="20"/>
        </w:rPr>
        <w:t xml:space="preserve">Proiectul </w:t>
      </w:r>
      <w:r w:rsidR="0053465F" w:rsidRPr="007C1F8C">
        <w:rPr>
          <w:rFonts w:ascii="Trebuchet MS" w:eastAsia="Times New Roman" w:hAnsi="Trebuchet MS" w:cs="Arial"/>
          <w:bCs/>
          <w:sz w:val="20"/>
          <w:szCs w:val="20"/>
        </w:rPr>
        <w:t>prezintă obiective</w:t>
      </w:r>
      <w:r w:rsidRPr="007C1F8C">
        <w:rPr>
          <w:rFonts w:ascii="Trebuchet MS" w:eastAsia="Times New Roman" w:hAnsi="Trebuchet MS" w:cs="Arial"/>
          <w:bCs/>
          <w:sz w:val="20"/>
          <w:szCs w:val="20"/>
        </w:rPr>
        <w:t xml:space="preserve"> legate de incluziun</w:t>
      </w:r>
      <w:r w:rsidR="0053465F" w:rsidRPr="007C1F8C">
        <w:rPr>
          <w:rFonts w:ascii="Trebuchet MS" w:eastAsia="Times New Roman" w:hAnsi="Trebuchet MS" w:cs="Arial"/>
          <w:bCs/>
          <w:sz w:val="20"/>
          <w:szCs w:val="20"/>
        </w:rPr>
        <w:t>ea</w:t>
      </w:r>
      <w:r w:rsidRPr="007C1F8C">
        <w:rPr>
          <w:rFonts w:ascii="Trebuchet MS" w:eastAsia="Times New Roman" w:hAnsi="Trebuchet MS" w:cs="Arial"/>
          <w:bCs/>
          <w:sz w:val="20"/>
          <w:szCs w:val="20"/>
        </w:rPr>
        <w:t xml:space="preserve"> social</w:t>
      </w:r>
      <w:r w:rsidR="0053465F" w:rsidRPr="007C1F8C">
        <w:rPr>
          <w:rFonts w:ascii="Trebuchet MS" w:eastAsia="Times New Roman" w:hAnsi="Trebuchet MS" w:cs="Arial"/>
          <w:bCs/>
          <w:sz w:val="20"/>
          <w:szCs w:val="20"/>
        </w:rPr>
        <w:t>ă</w:t>
      </w:r>
    </w:p>
    <w:p w:rsidR="00396469" w:rsidRPr="007C1F8C" w:rsidRDefault="00396469" w:rsidP="00D93FB7">
      <w:pPr>
        <w:pStyle w:val="ListParagraph"/>
        <w:numPr>
          <w:ilvl w:val="0"/>
          <w:numId w:val="18"/>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Arial"/>
          <w:bCs/>
          <w:sz w:val="20"/>
          <w:szCs w:val="20"/>
        </w:rPr>
        <w:t xml:space="preserve">Proiectul </w:t>
      </w:r>
      <w:r w:rsidR="0053465F" w:rsidRPr="007C1F8C">
        <w:rPr>
          <w:rFonts w:ascii="Trebuchet MS" w:eastAsia="Times New Roman" w:hAnsi="Trebuchet MS" w:cs="Arial"/>
          <w:bCs/>
          <w:sz w:val="20"/>
          <w:szCs w:val="20"/>
        </w:rPr>
        <w:t xml:space="preserve">prezintă obiective legate </w:t>
      </w:r>
      <w:r w:rsidRPr="007C1F8C">
        <w:rPr>
          <w:rFonts w:ascii="Trebuchet MS" w:eastAsia="Times New Roman" w:hAnsi="Trebuchet MS" w:cs="Arial"/>
          <w:bCs/>
          <w:sz w:val="20"/>
          <w:szCs w:val="20"/>
        </w:rPr>
        <w:t>legate de schimbări</w:t>
      </w:r>
      <w:r w:rsidR="0053465F" w:rsidRPr="007C1F8C">
        <w:rPr>
          <w:rFonts w:ascii="Trebuchet MS" w:eastAsia="Times New Roman" w:hAnsi="Trebuchet MS" w:cs="Arial"/>
          <w:bCs/>
          <w:sz w:val="20"/>
          <w:szCs w:val="20"/>
        </w:rPr>
        <w:t>le</w:t>
      </w:r>
      <w:r w:rsidRPr="007C1F8C">
        <w:rPr>
          <w:rFonts w:ascii="Trebuchet MS" w:eastAsia="Times New Roman" w:hAnsi="Trebuchet MS" w:cs="Arial"/>
          <w:bCs/>
          <w:sz w:val="20"/>
          <w:szCs w:val="20"/>
        </w:rPr>
        <w:t xml:space="preserve"> climatice</w:t>
      </w:r>
    </w:p>
    <w:p w:rsidR="00396469" w:rsidRPr="004832F8" w:rsidRDefault="00396469" w:rsidP="004832F8">
      <w:pPr>
        <w:spacing w:before="120" w:after="120" w:line="240" w:lineRule="auto"/>
        <w:jc w:val="both"/>
        <w:rPr>
          <w:rFonts w:ascii="Trebuchet MS" w:eastAsia="Times New Roman" w:hAnsi="Trebuchet MS" w:cs="Arial"/>
          <w:bCs/>
          <w:sz w:val="20"/>
          <w:szCs w:val="20"/>
        </w:rPr>
      </w:pPr>
      <w:r w:rsidRPr="004832F8">
        <w:rPr>
          <w:rFonts w:ascii="Trebuchet MS" w:eastAsia="Times New Roman" w:hAnsi="Trebuchet MS" w:cs="Arial"/>
          <w:bCs/>
          <w:sz w:val="20"/>
          <w:szCs w:val="20"/>
        </w:rPr>
        <w:t>Fiecare din cele 6 criterii mai sus enunţate va fi însoţit de o anumită pondere</w:t>
      </w:r>
      <w:r w:rsidR="00D07EB7">
        <w:rPr>
          <w:rFonts w:ascii="Trebuchet MS" w:eastAsia="Times New Roman" w:hAnsi="Trebuchet MS" w:cs="Arial"/>
          <w:bCs/>
          <w:sz w:val="20"/>
          <w:szCs w:val="20"/>
        </w:rPr>
        <w:t xml:space="preserve"> </w:t>
      </w:r>
      <w:r w:rsidRPr="004832F8">
        <w:rPr>
          <w:rFonts w:ascii="Trebuchet MS" w:eastAsia="Times New Roman" w:hAnsi="Trebuchet MS" w:cs="Arial"/>
          <w:bCs/>
          <w:sz w:val="20"/>
          <w:szCs w:val="20"/>
        </w:rPr>
        <w:t xml:space="preserve">stabilită de </w:t>
      </w:r>
      <w:r w:rsidR="00D07EB7">
        <w:rPr>
          <w:rFonts w:ascii="Trebuchet MS" w:eastAsia="Times New Roman" w:hAnsi="Trebuchet MS" w:cs="Arial"/>
          <w:bCs/>
          <w:sz w:val="20"/>
          <w:szCs w:val="20"/>
        </w:rPr>
        <w:t xml:space="preserve">membrii </w:t>
      </w:r>
      <w:r w:rsidRPr="004832F8">
        <w:rPr>
          <w:rFonts w:ascii="Trebuchet MS" w:eastAsia="Times New Roman" w:hAnsi="Trebuchet MS" w:cs="Arial"/>
          <w:bCs/>
          <w:sz w:val="20"/>
          <w:szCs w:val="20"/>
        </w:rPr>
        <w:t xml:space="preserve">componenţi ai </w:t>
      </w:r>
      <w:r w:rsidR="009538BE" w:rsidRPr="004832F8">
        <w:rPr>
          <w:rFonts w:ascii="Trebuchet MS" w:eastAsia="Times New Roman" w:hAnsi="Trebuchet MS" w:cs="Arial"/>
          <w:bCs/>
          <w:sz w:val="20"/>
          <w:szCs w:val="20"/>
        </w:rPr>
        <w:t xml:space="preserve">autorităţii urbane </w:t>
      </w:r>
      <w:r w:rsidRPr="004832F8">
        <w:rPr>
          <w:rFonts w:ascii="Trebuchet MS" w:eastAsia="Times New Roman" w:hAnsi="Trebuchet MS" w:cs="Arial"/>
          <w:bCs/>
          <w:sz w:val="20"/>
          <w:szCs w:val="20"/>
        </w:rPr>
        <w:t>în prima întrunire</w:t>
      </w:r>
      <w:r w:rsidR="00D07EB7">
        <w:rPr>
          <w:rFonts w:ascii="Trebuchet MS" w:eastAsia="Times New Roman" w:hAnsi="Trebuchet MS" w:cs="Arial"/>
          <w:bCs/>
          <w:sz w:val="20"/>
          <w:szCs w:val="20"/>
        </w:rPr>
        <w:t xml:space="preserve"> și va fi menținută pentru toate proiectele care parcurg procesul de prioritizare și selectare</w:t>
      </w:r>
      <w:r w:rsidRPr="004832F8">
        <w:rPr>
          <w:rFonts w:ascii="Trebuchet MS" w:eastAsia="Times New Roman" w:hAnsi="Trebuchet MS" w:cs="Arial"/>
          <w:bCs/>
          <w:sz w:val="20"/>
          <w:szCs w:val="20"/>
        </w:rPr>
        <w:t>.</w:t>
      </w:r>
    </w:p>
    <w:p w:rsidR="00914F08" w:rsidRDefault="00914F08">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rsidR="0053465F" w:rsidRPr="007C1F8C" w:rsidRDefault="0053465F" w:rsidP="00D93FB7">
      <w:pPr>
        <w:pStyle w:val="ListParagraph"/>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Times New Roman"/>
          <w:b/>
          <w:sz w:val="20"/>
          <w:szCs w:val="20"/>
        </w:rPr>
        <w:lastRenderedPageBreak/>
        <w:t>Matricea de prioritizare</w:t>
      </w:r>
    </w:p>
    <w:tbl>
      <w:tblPr>
        <w:tblStyle w:val="TableGrid"/>
        <w:tblW w:w="0" w:type="auto"/>
        <w:tblLayout w:type="fixed"/>
        <w:tblLook w:val="04A0" w:firstRow="1" w:lastRow="0" w:firstColumn="1" w:lastColumn="0" w:noHBand="0" w:noVBand="1"/>
      </w:tblPr>
      <w:tblGrid>
        <w:gridCol w:w="1159"/>
        <w:gridCol w:w="974"/>
        <w:gridCol w:w="926"/>
        <w:gridCol w:w="974"/>
        <w:gridCol w:w="926"/>
        <w:gridCol w:w="974"/>
        <w:gridCol w:w="838"/>
        <w:gridCol w:w="1706"/>
        <w:gridCol w:w="926"/>
        <w:gridCol w:w="1098"/>
        <w:gridCol w:w="926"/>
        <w:gridCol w:w="1084"/>
        <w:gridCol w:w="926"/>
        <w:gridCol w:w="783"/>
      </w:tblGrid>
      <w:tr w:rsidR="004832F8" w:rsidRPr="007C1F8C" w:rsidTr="004832F8">
        <w:trPr>
          <w:trHeight w:val="2866"/>
        </w:trPr>
        <w:tc>
          <w:tcPr>
            <w:tcW w:w="1159" w:type="dxa"/>
            <w:vAlign w:val="center"/>
          </w:tcPr>
          <w:p w:rsidR="00722632" w:rsidRPr="007C1F8C" w:rsidRDefault="00722632" w:rsidP="00D93FB7">
            <w:pPr>
              <w:spacing w:before="120"/>
              <w:jc w:val="both"/>
              <w:rPr>
                <w:rFonts w:ascii="Trebuchet MS" w:eastAsia="Times New Roman" w:hAnsi="Trebuchet MS" w:cs="Times New Roman"/>
                <w:bCs/>
                <w:caps/>
                <w:sz w:val="20"/>
                <w:szCs w:val="20"/>
              </w:rPr>
            </w:pPr>
            <w:r w:rsidRPr="007C1F8C">
              <w:rPr>
                <w:rFonts w:ascii="Trebuchet MS" w:eastAsia="Times New Roman" w:hAnsi="Trebuchet MS" w:cs="Times New Roman"/>
                <w:bCs/>
                <w:sz w:val="20"/>
                <w:szCs w:val="20"/>
              </w:rPr>
              <w:t>Titlul Proiectului</w:t>
            </w:r>
          </w:p>
        </w:tc>
        <w:tc>
          <w:tcPr>
            <w:tcW w:w="974" w:type="dxa"/>
            <w:vAlign w:val="center"/>
          </w:tcPr>
          <w:p w:rsidR="004832F8" w:rsidRDefault="00722632" w:rsidP="00D93FB7">
            <w:pPr>
              <w:spacing w:line="276" w:lineRule="auto"/>
              <w:jc w:val="both"/>
              <w:rPr>
                <w:rFonts w:ascii="Trebuchet MS" w:eastAsia="Times New Roman" w:hAnsi="Trebuchet MS" w:cs="Arial"/>
                <w:bCs/>
                <w:sz w:val="20"/>
                <w:szCs w:val="20"/>
              </w:rPr>
            </w:pPr>
            <w:r w:rsidRPr="007C1F8C">
              <w:rPr>
                <w:rFonts w:ascii="Trebuchet MS" w:eastAsia="Times New Roman" w:hAnsi="Trebuchet MS" w:cs="Arial"/>
                <w:bCs/>
                <w:sz w:val="20"/>
                <w:szCs w:val="20"/>
              </w:rPr>
              <w:t>Beneficii pentru cetățeni</w:t>
            </w:r>
          </w:p>
          <w:p w:rsidR="00722632" w:rsidRPr="007C1F8C" w:rsidRDefault="004832F8" w:rsidP="00D93FB7">
            <w:pPr>
              <w:spacing w:line="276" w:lineRule="auto"/>
              <w:jc w:val="both"/>
              <w:rPr>
                <w:rFonts w:ascii="Trebuchet MS" w:eastAsia="Times New Roman" w:hAnsi="Trebuchet MS" w:cs="Arial"/>
                <w:bCs/>
                <w:sz w:val="20"/>
                <w:szCs w:val="20"/>
                <w:lang w:val="en-US"/>
              </w:rPr>
            </w:pPr>
            <w:r>
              <w:rPr>
                <w:rFonts w:ascii="Trebuchet MS" w:eastAsia="Times New Roman" w:hAnsi="Trebuchet MS" w:cs="Arial"/>
                <w:bCs/>
                <w:sz w:val="20"/>
                <w:szCs w:val="20"/>
              </w:rPr>
              <w:t>(Scor)</w:t>
            </w:r>
          </w:p>
        </w:tc>
        <w:tc>
          <w:tcPr>
            <w:tcW w:w="926"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Pondere (%)</w:t>
            </w:r>
          </w:p>
        </w:tc>
        <w:tc>
          <w:tcPr>
            <w:tcW w:w="974"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Beneficii pentru mediul privat</w:t>
            </w:r>
            <w:r w:rsidR="004832F8">
              <w:rPr>
                <w:rFonts w:ascii="Trebuchet MS" w:eastAsia="Times New Roman" w:hAnsi="Trebuchet MS" w:cs="Arial"/>
                <w:bCs/>
                <w:sz w:val="20"/>
                <w:szCs w:val="20"/>
              </w:rPr>
              <w:t xml:space="preserve"> (Scor)</w:t>
            </w:r>
          </w:p>
        </w:tc>
        <w:tc>
          <w:tcPr>
            <w:tcW w:w="926"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Pondere (%)</w:t>
            </w:r>
          </w:p>
        </w:tc>
        <w:tc>
          <w:tcPr>
            <w:tcW w:w="974"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Beneficii pentru turiști</w:t>
            </w:r>
            <w:r w:rsidR="004832F8">
              <w:rPr>
                <w:rFonts w:ascii="Trebuchet MS" w:eastAsia="Times New Roman" w:hAnsi="Trebuchet MS" w:cs="Arial"/>
                <w:bCs/>
                <w:sz w:val="20"/>
                <w:szCs w:val="20"/>
              </w:rPr>
              <w:t xml:space="preserve"> (Scor)</w:t>
            </w:r>
          </w:p>
        </w:tc>
        <w:tc>
          <w:tcPr>
            <w:tcW w:w="838"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Pondere (%)</w:t>
            </w:r>
          </w:p>
        </w:tc>
        <w:tc>
          <w:tcPr>
            <w:tcW w:w="1706"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Sustenabilitatea financiară a proiectului</w:t>
            </w:r>
            <w:r w:rsidR="004832F8">
              <w:rPr>
                <w:rFonts w:ascii="Trebuchet MS" w:eastAsia="Times New Roman" w:hAnsi="Trebuchet MS" w:cs="Arial"/>
                <w:bCs/>
                <w:sz w:val="20"/>
                <w:szCs w:val="20"/>
              </w:rPr>
              <w:t xml:space="preserve"> (Scor)</w:t>
            </w:r>
          </w:p>
        </w:tc>
        <w:tc>
          <w:tcPr>
            <w:tcW w:w="926"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Pondere (%)</w:t>
            </w:r>
          </w:p>
        </w:tc>
        <w:tc>
          <w:tcPr>
            <w:tcW w:w="1098"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Proiectul adreseaza obiective legate de incluziune sociala</w:t>
            </w:r>
            <w:r w:rsidR="004832F8">
              <w:rPr>
                <w:rFonts w:ascii="Trebuchet MS" w:eastAsia="Times New Roman" w:hAnsi="Trebuchet MS" w:cs="Arial"/>
                <w:bCs/>
                <w:sz w:val="20"/>
                <w:szCs w:val="20"/>
              </w:rPr>
              <w:t xml:space="preserve"> (Scor)</w:t>
            </w:r>
          </w:p>
        </w:tc>
        <w:tc>
          <w:tcPr>
            <w:tcW w:w="926"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Pondere (%)</w:t>
            </w:r>
          </w:p>
        </w:tc>
        <w:tc>
          <w:tcPr>
            <w:tcW w:w="1084"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Proiectul adreseaza obiective legate de schimbări climatice</w:t>
            </w:r>
            <w:r w:rsidR="004832F8">
              <w:rPr>
                <w:rFonts w:ascii="Trebuchet MS" w:eastAsia="Times New Roman" w:hAnsi="Trebuchet MS" w:cs="Arial"/>
                <w:bCs/>
                <w:sz w:val="20"/>
                <w:szCs w:val="20"/>
              </w:rPr>
              <w:t xml:space="preserve"> (Scor)</w:t>
            </w:r>
          </w:p>
        </w:tc>
        <w:tc>
          <w:tcPr>
            <w:tcW w:w="926"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Pondere (%)</w:t>
            </w:r>
          </w:p>
        </w:tc>
        <w:tc>
          <w:tcPr>
            <w:tcW w:w="783" w:type="dxa"/>
            <w:vAlign w:val="center"/>
          </w:tcPr>
          <w:p w:rsidR="00722632" w:rsidRPr="007C1F8C" w:rsidRDefault="00722632" w:rsidP="00D93FB7">
            <w:pPr>
              <w:spacing w:line="276" w:lineRule="auto"/>
              <w:jc w:val="both"/>
              <w:rPr>
                <w:rFonts w:ascii="Trebuchet MS" w:eastAsia="Times New Roman" w:hAnsi="Trebuchet MS" w:cs="Arial"/>
                <w:bCs/>
                <w:sz w:val="20"/>
                <w:szCs w:val="20"/>
                <w:lang w:val="en-US"/>
              </w:rPr>
            </w:pPr>
            <w:r w:rsidRPr="007C1F8C">
              <w:rPr>
                <w:rFonts w:ascii="Trebuchet MS" w:eastAsia="Times New Roman" w:hAnsi="Trebuchet MS" w:cs="Arial"/>
                <w:bCs/>
                <w:sz w:val="20"/>
                <w:szCs w:val="20"/>
              </w:rPr>
              <w:t>SCOR TOTAL</w:t>
            </w:r>
          </w:p>
        </w:tc>
      </w:tr>
      <w:tr w:rsidR="004832F8" w:rsidRPr="007C1F8C" w:rsidTr="004832F8">
        <w:trPr>
          <w:trHeight w:val="352"/>
        </w:trPr>
        <w:tc>
          <w:tcPr>
            <w:tcW w:w="1159" w:type="dxa"/>
          </w:tcPr>
          <w:p w:rsidR="00722632" w:rsidRPr="004832F8" w:rsidRDefault="004832F8" w:rsidP="00D93FB7">
            <w:pPr>
              <w:spacing w:before="120"/>
              <w:jc w:val="both"/>
              <w:rPr>
                <w:rFonts w:ascii="Trebuchet MS" w:eastAsia="Times New Roman" w:hAnsi="Trebuchet MS" w:cs="Times New Roman"/>
                <w:bCs/>
                <w:caps/>
                <w:sz w:val="20"/>
                <w:szCs w:val="20"/>
              </w:rPr>
            </w:pPr>
            <w:r w:rsidRPr="004832F8">
              <w:rPr>
                <w:rFonts w:ascii="Trebuchet MS" w:eastAsia="Times New Roman" w:hAnsi="Trebuchet MS" w:cs="Times New Roman"/>
                <w:bCs/>
                <w:sz w:val="20"/>
                <w:szCs w:val="20"/>
              </w:rPr>
              <w:t xml:space="preserve">Proiect </w:t>
            </w:r>
            <w:r w:rsidRPr="004832F8">
              <w:rPr>
                <w:rFonts w:ascii="Trebuchet MS" w:eastAsia="Times New Roman" w:hAnsi="Trebuchet MS" w:cs="Times New Roman"/>
                <w:bCs/>
                <w:caps/>
                <w:sz w:val="20"/>
                <w:szCs w:val="20"/>
              </w:rPr>
              <w:t>1</w:t>
            </w:r>
          </w:p>
        </w:tc>
        <w:tc>
          <w:tcPr>
            <w:tcW w:w="974"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926"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974"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926"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974"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838"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1706"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926"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1098"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926"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1084"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926" w:type="dxa"/>
          </w:tcPr>
          <w:p w:rsidR="00722632" w:rsidRPr="007C1F8C" w:rsidRDefault="00722632" w:rsidP="00D93FB7">
            <w:pPr>
              <w:spacing w:before="120"/>
              <w:jc w:val="both"/>
              <w:rPr>
                <w:rFonts w:ascii="Trebuchet MS" w:eastAsia="Times New Roman" w:hAnsi="Trebuchet MS" w:cs="Times New Roman"/>
                <w:b/>
                <w:bCs/>
                <w:caps/>
                <w:sz w:val="20"/>
                <w:szCs w:val="20"/>
              </w:rPr>
            </w:pPr>
          </w:p>
        </w:tc>
        <w:tc>
          <w:tcPr>
            <w:tcW w:w="783" w:type="dxa"/>
          </w:tcPr>
          <w:p w:rsidR="00722632" w:rsidRPr="007C1F8C" w:rsidRDefault="00722632" w:rsidP="00D93FB7">
            <w:pPr>
              <w:spacing w:before="120"/>
              <w:jc w:val="both"/>
              <w:rPr>
                <w:rFonts w:ascii="Trebuchet MS" w:eastAsia="Times New Roman" w:hAnsi="Trebuchet MS" w:cs="Times New Roman"/>
                <w:b/>
                <w:bCs/>
                <w:caps/>
                <w:sz w:val="20"/>
                <w:szCs w:val="20"/>
              </w:rPr>
            </w:pPr>
          </w:p>
        </w:tc>
      </w:tr>
      <w:tr w:rsidR="004832F8" w:rsidRPr="007C1F8C" w:rsidTr="004832F8">
        <w:trPr>
          <w:trHeight w:val="352"/>
        </w:trPr>
        <w:tc>
          <w:tcPr>
            <w:tcW w:w="1159" w:type="dxa"/>
          </w:tcPr>
          <w:p w:rsidR="004832F8" w:rsidRPr="004832F8" w:rsidRDefault="004832F8" w:rsidP="00D93FB7">
            <w:pPr>
              <w:spacing w:before="120"/>
              <w:jc w:val="both"/>
              <w:rPr>
                <w:rFonts w:ascii="Trebuchet MS" w:eastAsia="Times New Roman" w:hAnsi="Trebuchet MS" w:cs="Times New Roman"/>
                <w:bCs/>
                <w:caps/>
                <w:sz w:val="20"/>
                <w:szCs w:val="20"/>
              </w:rPr>
            </w:pPr>
            <w:r w:rsidRPr="004832F8">
              <w:rPr>
                <w:rFonts w:ascii="Trebuchet MS" w:eastAsia="Times New Roman" w:hAnsi="Trebuchet MS" w:cs="Times New Roman"/>
                <w:bCs/>
                <w:sz w:val="20"/>
                <w:szCs w:val="20"/>
              </w:rPr>
              <w:t>Proiect 2</w:t>
            </w:r>
          </w:p>
        </w:tc>
        <w:tc>
          <w:tcPr>
            <w:tcW w:w="97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7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7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838"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170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1098"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108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783" w:type="dxa"/>
          </w:tcPr>
          <w:p w:rsidR="004832F8" w:rsidRPr="007C1F8C" w:rsidRDefault="004832F8" w:rsidP="00D93FB7">
            <w:pPr>
              <w:spacing w:before="120"/>
              <w:jc w:val="both"/>
              <w:rPr>
                <w:rFonts w:ascii="Trebuchet MS" w:eastAsia="Times New Roman" w:hAnsi="Trebuchet MS" w:cs="Times New Roman"/>
                <w:b/>
                <w:bCs/>
                <w:caps/>
                <w:sz w:val="20"/>
                <w:szCs w:val="20"/>
              </w:rPr>
            </w:pPr>
          </w:p>
        </w:tc>
      </w:tr>
      <w:tr w:rsidR="004832F8" w:rsidRPr="007C1F8C" w:rsidTr="004832F8">
        <w:trPr>
          <w:trHeight w:val="352"/>
        </w:trPr>
        <w:tc>
          <w:tcPr>
            <w:tcW w:w="1159" w:type="dxa"/>
          </w:tcPr>
          <w:p w:rsidR="004832F8" w:rsidRPr="004832F8" w:rsidRDefault="004832F8" w:rsidP="00D93FB7">
            <w:pPr>
              <w:spacing w:before="120"/>
              <w:jc w:val="both"/>
              <w:rPr>
                <w:rFonts w:ascii="Trebuchet MS" w:eastAsia="Times New Roman" w:hAnsi="Trebuchet MS" w:cs="Times New Roman"/>
                <w:bCs/>
                <w:caps/>
                <w:sz w:val="20"/>
                <w:szCs w:val="20"/>
              </w:rPr>
            </w:pPr>
            <w:r w:rsidRPr="004832F8">
              <w:rPr>
                <w:rFonts w:ascii="Trebuchet MS" w:eastAsia="Times New Roman" w:hAnsi="Trebuchet MS" w:cs="Times New Roman"/>
                <w:bCs/>
                <w:sz w:val="20"/>
                <w:szCs w:val="20"/>
              </w:rPr>
              <w:t>Proiect 3</w:t>
            </w:r>
          </w:p>
        </w:tc>
        <w:tc>
          <w:tcPr>
            <w:tcW w:w="97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7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7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838"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170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1098"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1084"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926" w:type="dxa"/>
          </w:tcPr>
          <w:p w:rsidR="004832F8" w:rsidRPr="007C1F8C" w:rsidRDefault="004832F8" w:rsidP="00D93FB7">
            <w:pPr>
              <w:spacing w:before="120"/>
              <w:jc w:val="both"/>
              <w:rPr>
                <w:rFonts w:ascii="Trebuchet MS" w:eastAsia="Times New Roman" w:hAnsi="Trebuchet MS" w:cs="Times New Roman"/>
                <w:b/>
                <w:bCs/>
                <w:caps/>
                <w:sz w:val="20"/>
                <w:szCs w:val="20"/>
              </w:rPr>
            </w:pPr>
          </w:p>
        </w:tc>
        <w:tc>
          <w:tcPr>
            <w:tcW w:w="783" w:type="dxa"/>
          </w:tcPr>
          <w:p w:rsidR="004832F8" w:rsidRPr="007C1F8C" w:rsidRDefault="004832F8" w:rsidP="00D93FB7">
            <w:pPr>
              <w:spacing w:before="120"/>
              <w:jc w:val="both"/>
              <w:rPr>
                <w:rFonts w:ascii="Trebuchet MS" w:eastAsia="Times New Roman" w:hAnsi="Trebuchet MS" w:cs="Times New Roman"/>
                <w:b/>
                <w:bCs/>
                <w:caps/>
                <w:sz w:val="20"/>
                <w:szCs w:val="20"/>
              </w:rPr>
            </w:pPr>
          </w:p>
        </w:tc>
      </w:tr>
    </w:tbl>
    <w:p w:rsidR="00FB442F" w:rsidRPr="007C1F8C" w:rsidRDefault="00722632" w:rsidP="0053465F">
      <w:pPr>
        <w:pStyle w:val="ListParagraph"/>
        <w:numPr>
          <w:ilvl w:val="0"/>
          <w:numId w:val="19"/>
        </w:num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b/>
          <w:i/>
          <w:sz w:val="20"/>
          <w:szCs w:val="20"/>
        </w:rPr>
        <w:t xml:space="preserve">Scorul </w:t>
      </w:r>
      <w:r w:rsidRPr="007C1F8C">
        <w:rPr>
          <w:rFonts w:ascii="Trebuchet MS" w:eastAsia="Times New Roman" w:hAnsi="Trebuchet MS" w:cs="Times New Roman"/>
          <w:sz w:val="20"/>
          <w:szCs w:val="20"/>
        </w:rPr>
        <w:t>pentru fiecare proiect va fi dat pe un interval unitar de la 1 la 10 puncte, unde 10 înseamnă că proiectul răspunde în foarte mare măsură criteriului din matrice, iar 1 arată că proiectul răspunde în foarte mică măsură criteriului analizat</w:t>
      </w:r>
      <w:r w:rsidR="003C0E27" w:rsidRPr="007C1F8C">
        <w:rPr>
          <w:rFonts w:ascii="Trebuchet MS" w:eastAsia="Times New Roman" w:hAnsi="Trebuchet MS" w:cs="Times New Roman"/>
          <w:sz w:val="20"/>
          <w:szCs w:val="20"/>
        </w:rPr>
        <w:t>.</w:t>
      </w:r>
    </w:p>
    <w:p w:rsidR="003C0E27" w:rsidRPr="007C1F8C" w:rsidRDefault="003C0E27" w:rsidP="00D93FB7">
      <w:pPr>
        <w:pStyle w:val="ListParagraph"/>
        <w:spacing w:before="120" w:after="120" w:line="240" w:lineRule="auto"/>
        <w:jc w:val="both"/>
        <w:rPr>
          <w:rFonts w:ascii="Trebuchet MS" w:eastAsia="Times New Roman" w:hAnsi="Trebuchet MS" w:cs="Times New Roman"/>
          <w:sz w:val="20"/>
          <w:szCs w:val="20"/>
        </w:rPr>
      </w:pPr>
    </w:p>
    <w:p w:rsidR="00012B3F" w:rsidRPr="007C1F8C" w:rsidRDefault="00F02541" w:rsidP="0053465F">
      <w:pPr>
        <w:pStyle w:val="ListParagraph"/>
        <w:numPr>
          <w:ilvl w:val="0"/>
          <w:numId w:val="19"/>
        </w:num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b/>
          <w:i/>
          <w:sz w:val="20"/>
          <w:szCs w:val="20"/>
        </w:rPr>
        <w:t>Ponderea</w:t>
      </w:r>
      <w:r w:rsidRPr="007C1F8C">
        <w:rPr>
          <w:rFonts w:ascii="Trebuchet MS" w:eastAsia="Times New Roman" w:hAnsi="Trebuchet MS" w:cs="Times New Roman"/>
          <w:sz w:val="20"/>
          <w:szCs w:val="20"/>
        </w:rPr>
        <w:t xml:space="preserve"> </w:t>
      </w:r>
      <w:r w:rsidR="00877E66" w:rsidRPr="007C1F8C">
        <w:rPr>
          <w:rFonts w:ascii="Trebuchet MS" w:eastAsia="Times New Roman" w:hAnsi="Trebuchet MS" w:cs="Times New Roman"/>
          <w:sz w:val="20"/>
          <w:szCs w:val="20"/>
        </w:rPr>
        <w:t xml:space="preserve">pentru fiecare criteriu </w:t>
      </w:r>
      <w:r w:rsidRPr="007C1F8C">
        <w:rPr>
          <w:rFonts w:ascii="Trebuchet MS" w:eastAsia="Times New Roman" w:hAnsi="Trebuchet MS" w:cs="Times New Roman"/>
          <w:sz w:val="20"/>
          <w:szCs w:val="20"/>
        </w:rPr>
        <w:t xml:space="preserve">se stabilește în funcție de importanța acordată fiecărui criteriu și poate lua valori între </w:t>
      </w:r>
      <w:r w:rsidR="00273105">
        <w:rPr>
          <w:rFonts w:ascii="Trebuchet MS" w:eastAsia="Times New Roman" w:hAnsi="Trebuchet MS" w:cs="Times New Roman"/>
          <w:sz w:val="20"/>
          <w:szCs w:val="20"/>
        </w:rPr>
        <w:t>10</w:t>
      </w:r>
      <w:r w:rsidRPr="007C1F8C">
        <w:rPr>
          <w:rFonts w:ascii="Trebuchet MS" w:eastAsia="Times New Roman" w:hAnsi="Trebuchet MS" w:cs="Times New Roman"/>
          <w:sz w:val="20"/>
          <w:szCs w:val="20"/>
        </w:rPr>
        <w:t>% - deloc important și 100% - foarte important. Suma ponderilor alocate pentru toate criteriile trebuie să fie 100%.</w:t>
      </w:r>
      <w:r w:rsidR="00877E66" w:rsidRPr="007C1F8C">
        <w:rPr>
          <w:rFonts w:ascii="Trebuchet MS" w:eastAsia="Times New Roman" w:hAnsi="Trebuchet MS" w:cs="Times New Roman"/>
          <w:sz w:val="20"/>
          <w:szCs w:val="20"/>
        </w:rPr>
        <w:t xml:space="preserve"> </w:t>
      </w:r>
      <w:r w:rsidR="00877E66" w:rsidRPr="007C1F8C">
        <w:rPr>
          <w:rFonts w:ascii="Trebuchet MS" w:eastAsia="Times New Roman" w:hAnsi="Trebuchet MS" w:cs="Times New Roman"/>
          <w:b/>
          <w:sz w:val="20"/>
          <w:szCs w:val="20"/>
        </w:rPr>
        <w:t xml:space="preserve">Ponderea </w:t>
      </w:r>
      <w:r w:rsidR="00396469" w:rsidRPr="007C1F8C">
        <w:rPr>
          <w:rFonts w:ascii="Trebuchet MS" w:eastAsia="Times New Roman" w:hAnsi="Trebuchet MS" w:cs="Times New Roman"/>
          <w:b/>
          <w:sz w:val="20"/>
          <w:szCs w:val="20"/>
        </w:rPr>
        <w:t>unui criteriu</w:t>
      </w:r>
      <w:r w:rsidR="00012B3F" w:rsidRPr="007C1F8C">
        <w:rPr>
          <w:rFonts w:ascii="Trebuchet MS" w:eastAsia="Times New Roman" w:hAnsi="Trebuchet MS" w:cs="Times New Roman"/>
          <w:b/>
          <w:sz w:val="20"/>
          <w:szCs w:val="20"/>
        </w:rPr>
        <w:t xml:space="preserve"> </w:t>
      </w:r>
      <w:r w:rsidR="00877E66" w:rsidRPr="007C1F8C">
        <w:rPr>
          <w:rFonts w:ascii="Trebuchet MS" w:eastAsia="Times New Roman" w:hAnsi="Trebuchet MS" w:cs="Times New Roman"/>
          <w:b/>
          <w:sz w:val="20"/>
          <w:szCs w:val="20"/>
        </w:rPr>
        <w:t>trebuie să fie aceeași pentru toate proiectele.</w:t>
      </w:r>
      <w:r w:rsidR="00877E66" w:rsidRPr="007C1F8C">
        <w:rPr>
          <w:rFonts w:ascii="Trebuchet MS" w:eastAsia="Times New Roman" w:hAnsi="Trebuchet MS" w:cs="Times New Roman"/>
          <w:sz w:val="20"/>
          <w:szCs w:val="20"/>
        </w:rPr>
        <w:t xml:space="preserve"> </w:t>
      </w:r>
    </w:p>
    <w:p w:rsidR="00012B3F" w:rsidRPr="007C1F8C" w:rsidRDefault="00012B3F" w:rsidP="00D93FB7">
      <w:pPr>
        <w:pStyle w:val="ListParagraph"/>
        <w:jc w:val="both"/>
        <w:rPr>
          <w:rFonts w:ascii="Trebuchet MS" w:eastAsia="Times New Roman" w:hAnsi="Trebuchet MS" w:cs="Times New Roman"/>
          <w:sz w:val="20"/>
          <w:szCs w:val="20"/>
        </w:rPr>
      </w:pPr>
    </w:p>
    <w:p w:rsidR="00877E66" w:rsidRPr="007C1F8C" w:rsidRDefault="00877E66" w:rsidP="00D93FB7">
      <w:pPr>
        <w:pStyle w:val="ListParagraph"/>
        <w:jc w:val="both"/>
        <w:rPr>
          <w:rFonts w:ascii="Trebuchet MS" w:eastAsia="Times New Roman" w:hAnsi="Trebuchet MS" w:cs="Times New Roman"/>
          <w:sz w:val="20"/>
          <w:szCs w:val="20"/>
        </w:rPr>
      </w:pPr>
    </w:p>
    <w:p w:rsidR="003C0E27" w:rsidRPr="007C1F8C" w:rsidRDefault="003C0E27" w:rsidP="0053465F">
      <w:pPr>
        <w:pStyle w:val="ListParagraph"/>
        <w:numPr>
          <w:ilvl w:val="0"/>
          <w:numId w:val="19"/>
        </w:num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b/>
          <w:i/>
          <w:sz w:val="20"/>
          <w:szCs w:val="20"/>
        </w:rPr>
        <w:t>Totalul punctajului pentru criteriu</w:t>
      </w:r>
      <w:r w:rsidRPr="007C1F8C">
        <w:rPr>
          <w:rFonts w:ascii="Trebuchet MS" w:eastAsia="Times New Roman" w:hAnsi="Trebuchet MS" w:cs="Times New Roman"/>
          <w:sz w:val="20"/>
          <w:szCs w:val="20"/>
        </w:rPr>
        <w:t xml:space="preserve"> = Scor x Pondere</w:t>
      </w:r>
    </w:p>
    <w:p w:rsidR="00877E66" w:rsidRPr="007C1F8C" w:rsidRDefault="00877E66" w:rsidP="00D93FB7">
      <w:pPr>
        <w:pStyle w:val="ListParagraph"/>
        <w:spacing w:before="120" w:after="120" w:line="240" w:lineRule="auto"/>
        <w:jc w:val="both"/>
        <w:rPr>
          <w:rFonts w:ascii="Trebuchet MS" w:eastAsia="Times New Roman" w:hAnsi="Trebuchet MS" w:cs="Times New Roman"/>
          <w:sz w:val="20"/>
          <w:szCs w:val="20"/>
        </w:rPr>
      </w:pPr>
    </w:p>
    <w:p w:rsidR="00877E66" w:rsidRPr="007C1F8C" w:rsidRDefault="00C76C9D" w:rsidP="0053465F">
      <w:pPr>
        <w:pStyle w:val="ListParagraph"/>
        <w:numPr>
          <w:ilvl w:val="0"/>
          <w:numId w:val="19"/>
        </w:num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b/>
          <w:i/>
          <w:sz w:val="20"/>
          <w:szCs w:val="20"/>
        </w:rPr>
        <w:t xml:space="preserve">Scorul </w:t>
      </w:r>
      <w:r w:rsidRPr="007C1F8C">
        <w:rPr>
          <w:rFonts w:ascii="Trebuchet MS" w:eastAsia="Times New Roman" w:hAnsi="Trebuchet MS" w:cs="Times New Roman"/>
          <w:b/>
          <w:i/>
          <w:sz w:val="20"/>
          <w:szCs w:val="20"/>
        </w:rPr>
        <w:t>total</w:t>
      </w:r>
      <w:r>
        <w:rPr>
          <w:rFonts w:ascii="Trebuchet MS" w:eastAsia="Times New Roman" w:hAnsi="Trebuchet MS" w:cs="Times New Roman"/>
          <w:b/>
          <w:i/>
          <w:sz w:val="20"/>
          <w:szCs w:val="20"/>
        </w:rPr>
        <w:t xml:space="preserve"> </w:t>
      </w:r>
      <w:r w:rsidR="003C0E27" w:rsidRPr="007C1F8C">
        <w:rPr>
          <w:rFonts w:ascii="Trebuchet MS" w:eastAsia="Times New Roman" w:hAnsi="Trebuchet MS" w:cs="Times New Roman"/>
          <w:b/>
          <w:i/>
          <w:sz w:val="20"/>
          <w:szCs w:val="20"/>
        </w:rPr>
        <w:t>pentru un proiect</w:t>
      </w:r>
      <w:r w:rsidR="003C0E27" w:rsidRPr="007C1F8C">
        <w:rPr>
          <w:rFonts w:ascii="Trebuchet MS" w:eastAsia="Times New Roman" w:hAnsi="Trebuchet MS" w:cs="Times New Roman"/>
          <w:sz w:val="20"/>
          <w:szCs w:val="20"/>
        </w:rPr>
        <w:t xml:space="preserve"> = Suma totalurilor punctajelor pentru criterii</w:t>
      </w:r>
    </w:p>
    <w:p w:rsidR="00877E66" w:rsidRPr="007C1F8C" w:rsidRDefault="00877E66" w:rsidP="00D93FB7">
      <w:pPr>
        <w:pStyle w:val="ListParagraph"/>
        <w:jc w:val="both"/>
        <w:rPr>
          <w:rFonts w:ascii="Trebuchet MS" w:eastAsia="Times New Roman" w:hAnsi="Trebuchet MS" w:cs="Times New Roman"/>
          <w:sz w:val="20"/>
          <w:szCs w:val="20"/>
        </w:rPr>
      </w:pPr>
    </w:p>
    <w:p w:rsidR="003C0E27" w:rsidRPr="007C1F8C" w:rsidRDefault="00877E66" w:rsidP="0053465F">
      <w:pPr>
        <w:pStyle w:val="ListParagraph"/>
        <w:numPr>
          <w:ilvl w:val="0"/>
          <w:numId w:val="19"/>
        </w:numPr>
        <w:spacing w:before="120" w:after="120" w:line="240" w:lineRule="auto"/>
        <w:jc w:val="both"/>
        <w:rPr>
          <w:rFonts w:ascii="Trebuchet MS" w:eastAsia="Times New Roman" w:hAnsi="Trebuchet MS" w:cs="Times New Roman"/>
          <w:b/>
          <w:sz w:val="20"/>
          <w:szCs w:val="20"/>
        </w:rPr>
      </w:pPr>
      <w:r w:rsidRPr="007C1F8C">
        <w:rPr>
          <w:rFonts w:ascii="Trebuchet MS" w:eastAsia="Times New Roman" w:hAnsi="Trebuchet MS" w:cs="Times New Roman"/>
          <w:b/>
          <w:sz w:val="20"/>
          <w:szCs w:val="20"/>
        </w:rPr>
        <w:t>Total</w:t>
      </w:r>
      <w:r w:rsidR="00234339">
        <w:rPr>
          <w:rFonts w:ascii="Trebuchet MS" w:eastAsia="Times New Roman" w:hAnsi="Trebuchet MS" w:cs="Times New Roman"/>
          <w:b/>
          <w:sz w:val="20"/>
          <w:szCs w:val="20"/>
        </w:rPr>
        <w:t>ul</w:t>
      </w:r>
      <w:r w:rsidRPr="007C1F8C">
        <w:rPr>
          <w:rFonts w:ascii="Trebuchet MS" w:eastAsia="Times New Roman" w:hAnsi="Trebuchet MS" w:cs="Times New Roman"/>
          <w:b/>
          <w:sz w:val="20"/>
          <w:szCs w:val="20"/>
        </w:rPr>
        <w:t xml:space="preserve"> pentru fiecare proiect o reprezintă </w:t>
      </w:r>
      <w:r w:rsidRPr="007C1F8C">
        <w:rPr>
          <w:rFonts w:ascii="Trebuchet MS" w:eastAsia="Times New Roman" w:hAnsi="Trebuchet MS" w:cs="Times New Roman"/>
          <w:sz w:val="20"/>
          <w:szCs w:val="20"/>
        </w:rPr>
        <w:t xml:space="preserve">media aritmetică simplă, respectiv suma </w:t>
      </w:r>
      <w:r w:rsidR="00234339">
        <w:rPr>
          <w:rFonts w:ascii="Trebuchet MS" w:eastAsia="Times New Roman" w:hAnsi="Trebuchet MS" w:cs="Times New Roman"/>
          <w:sz w:val="20"/>
          <w:szCs w:val="20"/>
        </w:rPr>
        <w:t xml:space="preserve">scorurilor totale acordate proiectușlui de fiecare ,membru component al autorității urbane împărțită la numărul membrilor. </w:t>
      </w:r>
      <w:r w:rsidRPr="007C1F8C">
        <w:rPr>
          <w:rFonts w:ascii="Trebuchet MS" w:eastAsia="Times New Roman" w:hAnsi="Trebuchet MS" w:cs="Times New Roman"/>
          <w:sz w:val="20"/>
          <w:szCs w:val="20"/>
        </w:rPr>
        <w:t xml:space="preserve"> </w:t>
      </w:r>
    </w:p>
    <w:p w:rsidR="00012B3F" w:rsidRPr="00F34497" w:rsidRDefault="00396469" w:rsidP="00F34497">
      <w:pPr>
        <w:spacing w:before="120" w:after="120" w:line="240" w:lineRule="auto"/>
        <w:jc w:val="both"/>
        <w:rPr>
          <w:rFonts w:ascii="Trebuchet MS" w:eastAsia="Times New Roman" w:hAnsi="Trebuchet MS" w:cs="Times New Roman"/>
          <w:sz w:val="20"/>
          <w:szCs w:val="20"/>
        </w:rPr>
      </w:pPr>
      <w:r w:rsidRPr="00F34497">
        <w:rPr>
          <w:rFonts w:ascii="Trebuchet MS" w:hAnsi="Trebuchet MS" w:cs="Tahoma"/>
          <w:sz w:val="20"/>
          <w:szCs w:val="20"/>
        </w:rPr>
        <w:t xml:space="preserve">După completarea matricilor de către toți membrii Autorității Urbane, pentru toate proiectele se va calcula un total pentru fiecare proiect ca și medie aritmetică simplă (suma totalurilor pe proiect ale fiecărui </w:t>
      </w:r>
      <w:r w:rsidR="00234339">
        <w:rPr>
          <w:rFonts w:ascii="Trebuchet MS" w:hAnsi="Trebuchet MS" w:cs="Tahoma"/>
          <w:sz w:val="20"/>
          <w:szCs w:val="20"/>
        </w:rPr>
        <w:t>membru</w:t>
      </w:r>
      <w:r w:rsidRPr="00F34497">
        <w:rPr>
          <w:rFonts w:ascii="Trebuchet MS" w:hAnsi="Trebuchet MS" w:cs="Tahoma"/>
          <w:sz w:val="20"/>
          <w:szCs w:val="20"/>
        </w:rPr>
        <w:t xml:space="preserve">/numărul </w:t>
      </w:r>
      <w:r w:rsidR="00234339">
        <w:rPr>
          <w:rFonts w:ascii="Trebuchet MS" w:hAnsi="Trebuchet MS" w:cs="Tahoma"/>
          <w:sz w:val="20"/>
          <w:szCs w:val="20"/>
        </w:rPr>
        <w:t>membrilor</w:t>
      </w:r>
      <w:r w:rsidRPr="00F34497">
        <w:rPr>
          <w:rFonts w:ascii="Trebuchet MS" w:hAnsi="Trebuchet MS" w:cs="Tahoma"/>
          <w:sz w:val="20"/>
          <w:szCs w:val="20"/>
        </w:rPr>
        <w:t xml:space="preserve">) și în funcție de punctajul final al fiecărui proiect se </w:t>
      </w:r>
      <w:r w:rsidR="00234339">
        <w:rPr>
          <w:rFonts w:ascii="Trebuchet MS" w:hAnsi="Trebuchet MS" w:cs="Tahoma"/>
          <w:sz w:val="20"/>
          <w:szCs w:val="20"/>
        </w:rPr>
        <w:t xml:space="preserve">va </w:t>
      </w:r>
      <w:r w:rsidRPr="00F34497">
        <w:rPr>
          <w:rFonts w:ascii="Trebuchet MS" w:hAnsi="Trebuchet MS" w:cs="Tahoma"/>
          <w:sz w:val="20"/>
          <w:szCs w:val="20"/>
        </w:rPr>
        <w:t>realiz</w:t>
      </w:r>
      <w:r w:rsidR="00234339">
        <w:rPr>
          <w:rFonts w:ascii="Trebuchet MS" w:hAnsi="Trebuchet MS" w:cs="Tahoma"/>
          <w:sz w:val="20"/>
          <w:szCs w:val="20"/>
        </w:rPr>
        <w:t xml:space="preserve">a </w:t>
      </w:r>
      <w:r w:rsidRPr="00F34497">
        <w:rPr>
          <w:rFonts w:ascii="Trebuchet MS" w:hAnsi="Trebuchet MS" w:cs="Tahoma"/>
          <w:sz w:val="20"/>
          <w:szCs w:val="20"/>
        </w:rPr>
        <w:t>ierarhizare</w:t>
      </w:r>
      <w:r w:rsidR="005D281B" w:rsidRPr="00F34497">
        <w:rPr>
          <w:rFonts w:ascii="Trebuchet MS" w:hAnsi="Trebuchet MS" w:cs="Tahoma"/>
          <w:sz w:val="20"/>
          <w:szCs w:val="20"/>
        </w:rPr>
        <w:t>a acestora</w:t>
      </w:r>
      <w:r w:rsidR="00234339">
        <w:rPr>
          <w:rFonts w:ascii="Trebuchet MS" w:hAnsi="Trebuchet MS" w:cs="Tahoma"/>
          <w:sz w:val="20"/>
          <w:szCs w:val="20"/>
        </w:rPr>
        <w:t xml:space="preserve">, </w:t>
      </w:r>
      <w:r w:rsidR="005D281B" w:rsidRPr="00F34497">
        <w:rPr>
          <w:rFonts w:ascii="Trebuchet MS" w:hAnsi="Trebuchet MS" w:cs="Tahoma"/>
          <w:sz w:val="20"/>
          <w:szCs w:val="20"/>
        </w:rPr>
        <w:t>rezult</w:t>
      </w:r>
      <w:r w:rsidR="00234339">
        <w:rPr>
          <w:rFonts w:ascii="Trebuchet MS" w:hAnsi="Trebuchet MS" w:cs="Tahoma"/>
          <w:sz w:val="20"/>
          <w:szCs w:val="20"/>
        </w:rPr>
        <w:t xml:space="preserve">ând </w:t>
      </w:r>
      <w:r w:rsidR="005D281B" w:rsidRPr="00F34497">
        <w:rPr>
          <w:rFonts w:ascii="Trebuchet MS" w:hAnsi="Trebuchet MS" w:cs="Tahoma"/>
          <w:sz w:val="20"/>
          <w:szCs w:val="20"/>
        </w:rPr>
        <w:t xml:space="preserve">clasamentul etapei </w:t>
      </w:r>
      <w:r w:rsidR="00514F1A" w:rsidRPr="00F34497">
        <w:rPr>
          <w:rFonts w:ascii="Trebuchet MS" w:hAnsi="Trebuchet MS" w:cs="Tahoma"/>
          <w:sz w:val="20"/>
          <w:szCs w:val="20"/>
        </w:rPr>
        <w:t>de evaluare sistem</w:t>
      </w:r>
      <w:r w:rsidR="00B33311">
        <w:rPr>
          <w:rFonts w:ascii="Trebuchet MS" w:hAnsi="Trebuchet MS" w:cs="Tahoma"/>
          <w:sz w:val="20"/>
          <w:szCs w:val="20"/>
        </w:rPr>
        <w:t>ică</w:t>
      </w:r>
      <w:r w:rsidR="005D281B" w:rsidRPr="00F34497">
        <w:rPr>
          <w:rFonts w:ascii="Trebuchet MS" w:hAnsi="Trebuchet MS" w:cs="Tahoma"/>
          <w:sz w:val="20"/>
          <w:szCs w:val="20"/>
        </w:rPr>
        <w:t>.</w:t>
      </w:r>
    </w:p>
    <w:p w:rsidR="002F6FE7" w:rsidRPr="00F34497" w:rsidRDefault="00B31CD2" w:rsidP="00F34497">
      <w:pPr>
        <w:pStyle w:val="ListParagraph"/>
        <w:numPr>
          <w:ilvl w:val="0"/>
          <w:numId w:val="21"/>
        </w:numPr>
        <w:spacing w:before="120" w:after="120" w:line="240" w:lineRule="auto"/>
        <w:jc w:val="both"/>
        <w:rPr>
          <w:rFonts w:ascii="Trebuchet MS" w:eastAsia="Times New Roman" w:hAnsi="Trebuchet MS" w:cs="Times New Roman"/>
          <w:b/>
          <w:sz w:val="20"/>
          <w:szCs w:val="20"/>
        </w:rPr>
      </w:pPr>
      <w:r w:rsidRPr="00F34497">
        <w:rPr>
          <w:rFonts w:ascii="Trebuchet MS" w:eastAsia="Times New Roman" w:hAnsi="Trebuchet MS" w:cs="Times New Roman"/>
          <w:b/>
          <w:sz w:val="20"/>
          <w:szCs w:val="20"/>
        </w:rPr>
        <w:t xml:space="preserve">Evaluarea analitică </w:t>
      </w:r>
    </w:p>
    <w:p w:rsidR="009D112F" w:rsidRPr="007C1F8C" w:rsidRDefault="00435B8F" w:rsidP="00D93FB7">
      <w:p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lastRenderedPageBreak/>
        <w:t xml:space="preserve">În scopul </w:t>
      </w:r>
      <w:r w:rsidR="00B33311">
        <w:rPr>
          <w:rFonts w:ascii="Trebuchet MS" w:eastAsia="Times New Roman" w:hAnsi="Trebuchet MS" w:cs="Times New Roman"/>
          <w:sz w:val="20"/>
          <w:szCs w:val="20"/>
        </w:rPr>
        <w:t>s</w:t>
      </w:r>
      <w:r w:rsidRPr="007C1F8C">
        <w:rPr>
          <w:rFonts w:ascii="Trebuchet MS" w:eastAsia="Times New Roman" w:hAnsi="Trebuchet MS" w:cs="Times New Roman"/>
          <w:sz w:val="20"/>
          <w:szCs w:val="20"/>
        </w:rPr>
        <w:t>elec</w:t>
      </w:r>
      <w:r w:rsidR="00B33311">
        <w:rPr>
          <w:rFonts w:ascii="Trebuchet MS" w:eastAsia="Times New Roman" w:hAnsi="Trebuchet MS" w:cs="Times New Roman"/>
          <w:sz w:val="20"/>
          <w:szCs w:val="20"/>
        </w:rPr>
        <w:t xml:space="preserve">tării celor mai relevante </w:t>
      </w:r>
      <w:r w:rsidRPr="007C1F8C">
        <w:rPr>
          <w:rFonts w:ascii="Trebuchet MS" w:eastAsia="Times New Roman" w:hAnsi="Trebuchet MS" w:cs="Times New Roman"/>
          <w:sz w:val="20"/>
          <w:szCs w:val="20"/>
        </w:rPr>
        <w:t>proiecte</w:t>
      </w:r>
      <w:r w:rsidR="00B33311">
        <w:rPr>
          <w:rFonts w:ascii="Trebuchet MS" w:eastAsia="Times New Roman" w:hAnsi="Trebuchet MS" w:cs="Times New Roman"/>
          <w:sz w:val="20"/>
          <w:szCs w:val="20"/>
        </w:rPr>
        <w:t xml:space="preserve"> </w:t>
      </w:r>
      <w:r w:rsidRPr="007C1F8C">
        <w:rPr>
          <w:rFonts w:ascii="Trebuchet MS" w:eastAsia="Times New Roman" w:hAnsi="Trebuchet MS" w:cs="Times New Roman"/>
          <w:sz w:val="20"/>
          <w:szCs w:val="20"/>
        </w:rPr>
        <w:t xml:space="preserve">prioritare </w:t>
      </w:r>
      <w:r w:rsidR="00B33311">
        <w:rPr>
          <w:rFonts w:ascii="Trebuchet MS" w:eastAsia="Times New Roman" w:hAnsi="Trebuchet MS" w:cs="Times New Roman"/>
          <w:sz w:val="20"/>
          <w:szCs w:val="20"/>
        </w:rPr>
        <w:t xml:space="preserve">în </w:t>
      </w:r>
      <w:r w:rsidRPr="007C1F8C">
        <w:rPr>
          <w:rFonts w:ascii="Trebuchet MS" w:eastAsia="Times New Roman" w:hAnsi="Trebuchet MS" w:cs="Times New Roman"/>
          <w:sz w:val="20"/>
          <w:szCs w:val="20"/>
        </w:rPr>
        <w:t>perioada 2014-2023</w:t>
      </w:r>
      <w:r w:rsidR="002C7AAD" w:rsidRPr="007C1F8C">
        <w:rPr>
          <w:rFonts w:ascii="Trebuchet MS" w:eastAsia="Times New Roman" w:hAnsi="Trebuchet MS" w:cs="Times New Roman"/>
          <w:sz w:val="20"/>
          <w:szCs w:val="20"/>
        </w:rPr>
        <w:t xml:space="preserve">, </w:t>
      </w:r>
      <w:r w:rsidR="00876122" w:rsidRPr="007C1F8C">
        <w:rPr>
          <w:rFonts w:ascii="Trebuchet MS" w:eastAsia="Times New Roman" w:hAnsi="Trebuchet MS" w:cs="Times New Roman"/>
          <w:sz w:val="20"/>
          <w:szCs w:val="20"/>
        </w:rPr>
        <w:t xml:space="preserve">următoarele </w:t>
      </w:r>
      <w:r w:rsidR="009D112F" w:rsidRPr="007C1F8C">
        <w:rPr>
          <w:rFonts w:ascii="Trebuchet MS" w:eastAsia="Times New Roman" w:hAnsi="Trebuchet MS" w:cs="Times New Roman"/>
          <w:sz w:val="20"/>
          <w:szCs w:val="20"/>
        </w:rPr>
        <w:t>criterii suplimentare</w:t>
      </w:r>
      <w:r w:rsidR="00876122" w:rsidRPr="007C1F8C">
        <w:rPr>
          <w:rFonts w:ascii="Trebuchet MS" w:eastAsia="Times New Roman" w:hAnsi="Trebuchet MS" w:cs="Times New Roman"/>
          <w:sz w:val="20"/>
          <w:szCs w:val="20"/>
        </w:rPr>
        <w:t xml:space="preserve"> orientative vor fi aplicate pentru stabilirea listei proiectelor prioritare pentru perioada 2014-2020</w:t>
      </w:r>
      <w:r w:rsidR="009D112F" w:rsidRPr="007C1F8C">
        <w:rPr>
          <w:rFonts w:ascii="Trebuchet MS" w:eastAsia="Times New Roman" w:hAnsi="Trebuchet MS" w:cs="Times New Roman"/>
          <w:sz w:val="20"/>
          <w:szCs w:val="20"/>
        </w:rPr>
        <w:t xml:space="preserve">: </w:t>
      </w:r>
    </w:p>
    <w:p w:rsidR="009D112F" w:rsidRPr="00F34497" w:rsidRDefault="009D112F" w:rsidP="00D93FB7">
      <w:pPr>
        <w:numPr>
          <w:ilvl w:val="0"/>
          <w:numId w:val="12"/>
        </w:numPr>
        <w:spacing w:before="120" w:after="120" w:line="240" w:lineRule="auto"/>
        <w:jc w:val="both"/>
        <w:rPr>
          <w:rFonts w:ascii="Trebuchet MS" w:eastAsia="Times New Roman" w:hAnsi="Trebuchet MS" w:cs="Times New Roman"/>
          <w:b/>
          <w:sz w:val="20"/>
          <w:szCs w:val="20"/>
        </w:rPr>
      </w:pPr>
      <w:r w:rsidRPr="00F34497">
        <w:rPr>
          <w:rFonts w:ascii="Trebuchet MS" w:eastAsia="Times New Roman" w:hAnsi="Trebuchet MS" w:cs="Times New Roman"/>
          <w:b/>
          <w:sz w:val="20"/>
          <w:szCs w:val="20"/>
        </w:rPr>
        <w:t>Prioritățile cetățenilor</w:t>
      </w:r>
    </w:p>
    <w:p w:rsidR="009D112F" w:rsidRPr="00F34497" w:rsidRDefault="009D112F" w:rsidP="00D93FB7">
      <w:pPr>
        <w:spacing w:before="120" w:after="120" w:line="240" w:lineRule="auto"/>
        <w:jc w:val="both"/>
        <w:rPr>
          <w:rFonts w:ascii="Trebuchet MS" w:eastAsia="Times New Roman" w:hAnsi="Trebuchet MS" w:cs="Times New Roman"/>
          <w:b/>
          <w:sz w:val="20"/>
          <w:szCs w:val="20"/>
        </w:rPr>
      </w:pPr>
      <w:r w:rsidRPr="00F34497">
        <w:rPr>
          <w:rFonts w:ascii="Trebuchet MS" w:eastAsia="Times New Roman" w:hAnsi="Trebuchet MS" w:cs="Times New Roman"/>
          <w:sz w:val="20"/>
          <w:szCs w:val="20"/>
        </w:rPr>
        <w:t xml:space="preserve">Implicarea cetățenilor în procesul de prioritizare a proiectelor se poate realiza sub diferite metode: întâlniri în cartiere cu locuitorii, ședințe de consultare publică, focus-grupuri, sondaje, etc.), metoda utilizată în acest sens depinzind de timpul și resursele disponibile.  </w:t>
      </w:r>
    </w:p>
    <w:p w:rsidR="009D112F" w:rsidRPr="00F34497" w:rsidRDefault="009D112F" w:rsidP="00D93FB7">
      <w:pPr>
        <w:numPr>
          <w:ilvl w:val="0"/>
          <w:numId w:val="12"/>
        </w:numPr>
        <w:spacing w:before="120" w:after="120" w:line="240" w:lineRule="auto"/>
        <w:jc w:val="both"/>
        <w:rPr>
          <w:rFonts w:ascii="Trebuchet MS" w:eastAsia="Times New Roman" w:hAnsi="Trebuchet MS" w:cs="Times New Roman"/>
          <w:b/>
          <w:sz w:val="20"/>
          <w:szCs w:val="20"/>
        </w:rPr>
      </w:pPr>
      <w:r w:rsidRPr="00F34497">
        <w:rPr>
          <w:rFonts w:ascii="Trebuchet MS" w:eastAsia="Times New Roman" w:hAnsi="Trebuchet MS" w:cs="Times New Roman"/>
          <w:b/>
          <w:sz w:val="20"/>
          <w:szCs w:val="20"/>
        </w:rPr>
        <w:t>Încurajarea unei abordări integrate</w:t>
      </w:r>
    </w:p>
    <w:p w:rsidR="009D112F" w:rsidRPr="00F34497" w:rsidRDefault="009D112F" w:rsidP="00D93FB7">
      <w:pPr>
        <w:spacing w:before="120" w:after="120" w:line="240" w:lineRule="auto"/>
        <w:jc w:val="both"/>
        <w:rPr>
          <w:rFonts w:ascii="Trebuchet MS" w:eastAsia="Times New Roman" w:hAnsi="Trebuchet MS" w:cs="Times New Roman"/>
          <w:sz w:val="20"/>
          <w:szCs w:val="20"/>
        </w:rPr>
      </w:pPr>
      <w:r w:rsidRPr="00F34497">
        <w:rPr>
          <w:rFonts w:ascii="Trebuchet MS" w:eastAsia="Times New Roman" w:hAnsi="Trebuchet MS" w:cs="Times New Roman"/>
          <w:sz w:val="20"/>
          <w:szCs w:val="20"/>
        </w:rPr>
        <w:t xml:space="preserve">Pachetul de proiecte prioritare trebuie să fie gândit ca un tot unitar – adică să fie un pachet de proiecte integrat teritorial (să rezolve cât mai multe nevoi dintr-o anumită zonă/cartier) sau sectorial (să rezolve cât mai multe nevoi dintr-un anumit sector, sau să asigure rezolvarea nevoilor unui sector la nivelul întregii zone metropolitane/zone urbane funcționale/orașului). De asemenea, se poate lua în considerare prioritizarea acelor proiecte care vin în completarea unor proiecte finanțate și deja finalizate.  </w:t>
      </w:r>
    </w:p>
    <w:p w:rsidR="009D112F" w:rsidRPr="00F34497" w:rsidRDefault="009D112F" w:rsidP="00D93FB7">
      <w:pPr>
        <w:spacing w:before="120" w:after="120" w:line="240" w:lineRule="auto"/>
        <w:jc w:val="both"/>
        <w:rPr>
          <w:rFonts w:ascii="Trebuchet MS" w:eastAsia="Times New Roman" w:hAnsi="Trebuchet MS" w:cs="Times New Roman"/>
          <w:sz w:val="20"/>
          <w:szCs w:val="20"/>
        </w:rPr>
      </w:pPr>
      <w:r w:rsidRPr="00F34497">
        <w:rPr>
          <w:rFonts w:ascii="Trebuchet MS" w:eastAsia="Times New Roman" w:hAnsi="Trebuchet MS" w:cs="Times New Roman"/>
          <w:sz w:val="20"/>
          <w:szCs w:val="20"/>
        </w:rPr>
        <w:t>Beneficiul unei abordări integrate sunt sinergiile care sunt obținute din aplicarea unui program coerent de investiții spre deosebire de o serie de investiții individuale. Astfel, un proiect cu un scor mic în procesul de prioritizare poate să aibă un impact mare atunci când este implementat împreună cu o serie de alte proiecte.</w:t>
      </w:r>
    </w:p>
    <w:p w:rsidR="009D112F" w:rsidRPr="00F34497" w:rsidRDefault="009D112F" w:rsidP="00D93FB7">
      <w:pPr>
        <w:numPr>
          <w:ilvl w:val="0"/>
          <w:numId w:val="12"/>
        </w:numPr>
        <w:spacing w:before="120" w:after="120" w:line="240" w:lineRule="auto"/>
        <w:jc w:val="both"/>
        <w:rPr>
          <w:rFonts w:ascii="Trebuchet MS" w:eastAsia="Times New Roman" w:hAnsi="Trebuchet MS" w:cs="Times New Roman"/>
          <w:b/>
          <w:sz w:val="20"/>
          <w:szCs w:val="20"/>
        </w:rPr>
      </w:pPr>
      <w:r w:rsidRPr="00F34497">
        <w:rPr>
          <w:rFonts w:ascii="Trebuchet MS" w:eastAsia="Times New Roman" w:hAnsi="Trebuchet MS" w:cs="Times New Roman"/>
          <w:b/>
          <w:sz w:val="20"/>
          <w:szCs w:val="20"/>
        </w:rPr>
        <w:t>Disponibilitatea surselor de finanțare și eligibilitatea acestora în cadrul Programelor Operaționale FESI 2014-2020</w:t>
      </w:r>
    </w:p>
    <w:p w:rsidR="009D112F" w:rsidRPr="00F34497" w:rsidRDefault="009D112F" w:rsidP="00D93FB7">
      <w:p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i/>
          <w:sz w:val="20"/>
          <w:szCs w:val="20"/>
        </w:rPr>
        <w:t xml:space="preserve">Disponibilitatea surselor de finanțare este un alt criteriu de care ar trebui să se țină cont pentru a identiifca lista finală de proiecte prioritare. </w:t>
      </w:r>
      <w:r w:rsidRPr="00F34497">
        <w:rPr>
          <w:rFonts w:ascii="Trebuchet MS" w:eastAsia="Times New Roman" w:hAnsi="Trebuchet MS" w:cs="Times New Roman"/>
          <w:sz w:val="20"/>
          <w:szCs w:val="20"/>
        </w:rPr>
        <w:t xml:space="preserve">Proiectele eligibile pentru finanțare FESI 2014-2020 ar trebui să aibă prioritate în fața proiectelor ne-eligibile, dar nu întotdeauna (vor fi situații când un proiect de absolută necesitate pentru o comunitate locală nu va putea fi finanțat din fonduri europene). </w:t>
      </w:r>
    </w:p>
    <w:p w:rsidR="009D112F" w:rsidRPr="00F34497" w:rsidRDefault="009D112F" w:rsidP="00D93FB7">
      <w:pPr>
        <w:numPr>
          <w:ilvl w:val="0"/>
          <w:numId w:val="12"/>
        </w:numPr>
        <w:spacing w:before="120" w:after="120" w:line="240" w:lineRule="auto"/>
        <w:jc w:val="both"/>
        <w:rPr>
          <w:rFonts w:ascii="Trebuchet MS" w:eastAsia="Times New Roman" w:hAnsi="Trebuchet MS" w:cs="Times New Roman"/>
          <w:b/>
          <w:sz w:val="20"/>
          <w:szCs w:val="20"/>
        </w:rPr>
      </w:pPr>
      <w:r w:rsidRPr="00F34497">
        <w:rPr>
          <w:rFonts w:ascii="Trebuchet MS" w:eastAsia="Times New Roman" w:hAnsi="Trebuchet MS" w:cs="Times New Roman"/>
          <w:b/>
          <w:sz w:val="20"/>
          <w:szCs w:val="20"/>
        </w:rPr>
        <w:t xml:space="preserve">Valoarea totală a proiectului </w:t>
      </w:r>
    </w:p>
    <w:p w:rsidR="00B33311" w:rsidRDefault="0079209E" w:rsidP="00D93FB7">
      <w:pPr>
        <w:spacing w:before="120" w:after="120" w:line="240" w:lineRule="auto"/>
        <w:jc w:val="both"/>
        <w:rPr>
          <w:rFonts w:ascii="Trebuchet MS" w:eastAsia="Times New Roman" w:hAnsi="Trebuchet MS" w:cs="Times New Roman"/>
          <w:sz w:val="20"/>
          <w:szCs w:val="20"/>
        </w:rPr>
      </w:pPr>
      <w:r w:rsidRPr="00F34497">
        <w:rPr>
          <w:rFonts w:ascii="Trebuchet MS" w:eastAsia="Times New Roman" w:hAnsi="Trebuchet MS" w:cs="Times New Roman"/>
          <w:sz w:val="20"/>
          <w:szCs w:val="20"/>
        </w:rPr>
        <w:t>Se poate avea în vedere prioritizarea mai multor proiecte de valoare mai mică decât alegerea unui singur proiect de valoare considerabilă.</w:t>
      </w:r>
      <w:r w:rsidR="00514F1A" w:rsidRPr="00F34497">
        <w:rPr>
          <w:rFonts w:ascii="Trebuchet MS" w:eastAsia="Times New Roman" w:hAnsi="Trebuchet MS" w:cs="Times New Roman"/>
          <w:sz w:val="20"/>
          <w:szCs w:val="20"/>
        </w:rPr>
        <w:t xml:space="preserve"> </w:t>
      </w:r>
    </w:p>
    <w:p w:rsidR="00B33311" w:rsidRPr="00B33311" w:rsidRDefault="009D112F" w:rsidP="00B33311">
      <w:pPr>
        <w:pStyle w:val="ListParagraph"/>
        <w:numPr>
          <w:ilvl w:val="0"/>
          <w:numId w:val="12"/>
        </w:numPr>
        <w:spacing w:before="120" w:after="120" w:line="240" w:lineRule="auto"/>
        <w:jc w:val="both"/>
        <w:rPr>
          <w:rFonts w:ascii="Trebuchet MS" w:eastAsia="Times New Roman" w:hAnsi="Trebuchet MS" w:cs="Times New Roman"/>
          <w:b/>
          <w:sz w:val="20"/>
          <w:szCs w:val="20"/>
        </w:rPr>
      </w:pPr>
      <w:r w:rsidRPr="00B33311">
        <w:rPr>
          <w:rFonts w:ascii="Trebuchet MS" w:eastAsia="Times New Roman" w:hAnsi="Trebuchet MS" w:cs="Times New Roman"/>
          <w:b/>
          <w:sz w:val="20"/>
          <w:szCs w:val="20"/>
        </w:rPr>
        <w:t>Gradul de maturitate al proiectelor</w:t>
      </w:r>
    </w:p>
    <w:p w:rsidR="009D112F" w:rsidRPr="00B33311" w:rsidRDefault="009D112F" w:rsidP="00B33311">
      <w:pPr>
        <w:spacing w:before="120" w:after="120" w:line="240" w:lineRule="auto"/>
        <w:jc w:val="both"/>
        <w:rPr>
          <w:rFonts w:ascii="Trebuchet MS" w:eastAsia="Times New Roman" w:hAnsi="Trebuchet MS" w:cs="Times New Roman"/>
          <w:sz w:val="20"/>
          <w:szCs w:val="20"/>
        </w:rPr>
      </w:pPr>
      <w:r w:rsidRPr="00B33311">
        <w:rPr>
          <w:rFonts w:ascii="Trebuchet MS" w:eastAsia="Times New Roman" w:hAnsi="Trebuchet MS" w:cs="Times New Roman"/>
          <w:sz w:val="20"/>
          <w:szCs w:val="20"/>
        </w:rPr>
        <w:t>Se poate acorda prioritate la finanțare pentru acele proiecte care au deja elaborate documentații tehnice și pentru care este necesară doar actualizarea acestora.</w:t>
      </w:r>
    </w:p>
    <w:p w:rsidR="00B33311" w:rsidRDefault="009D112F" w:rsidP="00D93FB7">
      <w:pPr>
        <w:spacing w:before="120" w:after="120" w:line="240" w:lineRule="auto"/>
        <w:jc w:val="both"/>
        <w:rPr>
          <w:rFonts w:ascii="Trebuchet MS" w:eastAsia="Times New Roman" w:hAnsi="Trebuchet MS" w:cs="Times New Roman"/>
          <w:sz w:val="20"/>
          <w:szCs w:val="20"/>
        </w:rPr>
      </w:pPr>
      <w:r w:rsidRPr="007C1F8C">
        <w:rPr>
          <w:rFonts w:ascii="Trebuchet MS" w:eastAsia="Times New Roman" w:hAnsi="Trebuchet MS" w:cs="Times New Roman"/>
          <w:sz w:val="20"/>
          <w:szCs w:val="20"/>
        </w:rPr>
        <w:t xml:space="preserve">Nu este necesară aplicarea tuturor criteriilor suplimentare menționate mai sus, dar autoritatea urbană are obligația </w:t>
      </w:r>
      <w:r w:rsidR="00B33311" w:rsidRPr="00B33311">
        <w:rPr>
          <w:rFonts w:ascii="Trebuchet MS" w:eastAsia="Times New Roman" w:hAnsi="Trebuchet MS" w:cs="Times New Roman"/>
          <w:sz w:val="20"/>
          <w:szCs w:val="20"/>
        </w:rPr>
        <w:t>de alege și aplica cel puțin patru din criteriile menționate</w:t>
      </w:r>
      <w:r w:rsidR="00B33311">
        <w:rPr>
          <w:rFonts w:ascii="Trebuchet MS" w:eastAsia="Times New Roman" w:hAnsi="Trebuchet MS" w:cs="Times New Roman"/>
          <w:sz w:val="20"/>
          <w:szCs w:val="20"/>
        </w:rPr>
        <w:t xml:space="preserve">. </w:t>
      </w:r>
    </w:p>
    <w:p w:rsidR="007E2248" w:rsidRPr="00F34497" w:rsidRDefault="007E2248" w:rsidP="00F34497">
      <w:pPr>
        <w:spacing w:before="120" w:after="120" w:line="240" w:lineRule="auto"/>
        <w:jc w:val="both"/>
        <w:rPr>
          <w:rFonts w:ascii="Trebuchet MS" w:eastAsia="Times New Roman" w:hAnsi="Trebuchet MS" w:cs="Times New Roman"/>
          <w:b/>
          <w:sz w:val="20"/>
          <w:szCs w:val="20"/>
        </w:rPr>
      </w:pPr>
      <w:r w:rsidRPr="00F34497">
        <w:rPr>
          <w:rFonts w:ascii="Trebuchet MS" w:eastAsia="Times New Roman" w:hAnsi="Trebuchet MS" w:cs="Times New Roman"/>
          <w:b/>
          <w:sz w:val="20"/>
          <w:szCs w:val="20"/>
        </w:rPr>
        <w:t xml:space="preserve">Prin aplicarea criteriior suplimentare </w:t>
      </w:r>
      <w:r w:rsidR="00A316EA" w:rsidRPr="00F34497">
        <w:rPr>
          <w:rFonts w:ascii="Trebuchet MS" w:eastAsia="Times New Roman" w:hAnsi="Trebuchet MS" w:cs="Times New Roman"/>
          <w:b/>
          <w:sz w:val="20"/>
          <w:szCs w:val="20"/>
        </w:rPr>
        <w:t xml:space="preserve">orientative </w:t>
      </w:r>
      <w:r w:rsidRPr="00F34497">
        <w:rPr>
          <w:rFonts w:ascii="Trebuchet MS" w:eastAsia="Times New Roman" w:hAnsi="Trebuchet MS" w:cs="Times New Roman"/>
          <w:b/>
          <w:sz w:val="20"/>
          <w:szCs w:val="20"/>
        </w:rPr>
        <w:t xml:space="preserve">de către </w:t>
      </w:r>
      <w:r w:rsidR="001D15AD" w:rsidRPr="00F34497">
        <w:rPr>
          <w:rFonts w:ascii="Trebuchet MS" w:eastAsia="Times New Roman" w:hAnsi="Trebuchet MS" w:cs="Times New Roman"/>
          <w:b/>
          <w:sz w:val="20"/>
          <w:szCs w:val="20"/>
        </w:rPr>
        <w:t xml:space="preserve">fiecare din </w:t>
      </w:r>
      <w:r w:rsidRPr="00F34497">
        <w:rPr>
          <w:rFonts w:ascii="Trebuchet MS" w:eastAsia="Times New Roman" w:hAnsi="Trebuchet MS" w:cs="Times New Roman"/>
          <w:b/>
          <w:sz w:val="20"/>
          <w:szCs w:val="20"/>
        </w:rPr>
        <w:t xml:space="preserve">experţii Autorităţii Urbane </w:t>
      </w:r>
      <w:r w:rsidR="00514F1A" w:rsidRPr="00F34497">
        <w:rPr>
          <w:rFonts w:ascii="Trebuchet MS" w:eastAsia="Times New Roman" w:hAnsi="Trebuchet MS" w:cs="Times New Roman"/>
          <w:b/>
          <w:sz w:val="20"/>
          <w:szCs w:val="20"/>
        </w:rPr>
        <w:t>pentru</w:t>
      </w:r>
      <w:r w:rsidRPr="00F34497">
        <w:rPr>
          <w:rFonts w:ascii="Trebuchet MS" w:eastAsia="Times New Roman" w:hAnsi="Trebuchet MS" w:cs="Times New Roman"/>
          <w:b/>
          <w:sz w:val="20"/>
          <w:szCs w:val="20"/>
        </w:rPr>
        <w:t xml:space="preserve"> proiectele </w:t>
      </w:r>
      <w:r w:rsidR="001D15AD" w:rsidRPr="00F34497">
        <w:rPr>
          <w:rFonts w:ascii="Trebuchet MS" w:eastAsia="Times New Roman" w:hAnsi="Trebuchet MS" w:cs="Times New Roman"/>
          <w:b/>
          <w:sz w:val="20"/>
          <w:szCs w:val="20"/>
        </w:rPr>
        <w:t>listei scurte va rezulta clasamentul analit</w:t>
      </w:r>
      <w:r w:rsidR="00514F1A" w:rsidRPr="00F34497">
        <w:rPr>
          <w:rFonts w:ascii="Trebuchet MS" w:eastAsia="Times New Roman" w:hAnsi="Trebuchet MS" w:cs="Times New Roman"/>
          <w:b/>
          <w:sz w:val="20"/>
          <w:szCs w:val="20"/>
        </w:rPr>
        <w:t>ic</w:t>
      </w:r>
      <w:r w:rsidR="001D15AD" w:rsidRPr="00F34497">
        <w:rPr>
          <w:rFonts w:ascii="Trebuchet MS" w:eastAsia="Times New Roman" w:hAnsi="Trebuchet MS" w:cs="Times New Roman"/>
          <w:b/>
          <w:sz w:val="20"/>
          <w:szCs w:val="20"/>
        </w:rPr>
        <w:t xml:space="preserve"> individual.</w:t>
      </w:r>
      <w:r w:rsidR="00B33311">
        <w:rPr>
          <w:rFonts w:ascii="Trebuchet MS" w:eastAsia="Times New Roman" w:hAnsi="Trebuchet MS" w:cs="Times New Roman"/>
          <w:b/>
          <w:sz w:val="20"/>
          <w:szCs w:val="20"/>
        </w:rPr>
        <w:t xml:space="preserve"> Ierarhizarea proiectelor se va face în ordine descrescătoare a importanței, rezultând clasamentul evaluării analitice</w:t>
      </w:r>
      <w:r w:rsidR="00B33311" w:rsidRPr="00B33311">
        <w:rPr>
          <w:rFonts w:ascii="Trebuchet MS" w:eastAsia="Times New Roman" w:hAnsi="Trebuchet MS" w:cs="Times New Roman"/>
          <w:b/>
          <w:sz w:val="20"/>
          <w:szCs w:val="20"/>
        </w:rPr>
        <w:t xml:space="preserve"> </w:t>
      </w:r>
      <w:r w:rsidR="00B33311" w:rsidRPr="00F34497">
        <w:rPr>
          <w:rFonts w:ascii="Trebuchet MS" w:eastAsia="Times New Roman" w:hAnsi="Trebuchet MS" w:cs="Times New Roman"/>
          <w:b/>
          <w:sz w:val="20"/>
          <w:szCs w:val="20"/>
        </w:rPr>
        <w:t>format din compilarea clasamentelor analitice individuale</w:t>
      </w:r>
      <w:r w:rsidR="00B33311">
        <w:rPr>
          <w:rFonts w:ascii="Trebuchet MS" w:eastAsia="Times New Roman" w:hAnsi="Trebuchet MS" w:cs="Times New Roman"/>
          <w:b/>
          <w:sz w:val="20"/>
          <w:szCs w:val="20"/>
        </w:rPr>
        <w:t xml:space="preserve">. </w:t>
      </w:r>
    </w:p>
    <w:p w:rsidR="00A316EA" w:rsidRPr="007C1F8C" w:rsidRDefault="00FB3E3B" w:rsidP="00250A9F">
      <w:pPr>
        <w:spacing w:before="120" w:after="120" w:line="240" w:lineRule="auto"/>
        <w:jc w:val="both"/>
        <w:rPr>
          <w:rFonts w:ascii="Trebuchet MS" w:hAnsi="Trebuchet MS"/>
          <w:sz w:val="20"/>
          <w:szCs w:val="20"/>
        </w:rPr>
      </w:pPr>
      <w:r w:rsidRPr="007C1F8C">
        <w:rPr>
          <w:rFonts w:ascii="Trebuchet MS" w:hAnsi="Trebuchet MS"/>
          <w:sz w:val="20"/>
          <w:szCs w:val="20"/>
        </w:rPr>
        <w:t xml:space="preserve">Prin compilarea celor două clasamente, respectiv </w:t>
      </w:r>
      <w:r w:rsidRPr="007C1F8C">
        <w:rPr>
          <w:rFonts w:ascii="Trebuchet MS" w:hAnsi="Trebuchet MS" w:cs="Tahoma"/>
          <w:sz w:val="20"/>
          <w:szCs w:val="20"/>
        </w:rPr>
        <w:t xml:space="preserve">clasamentul etapei de evaluare sistematică şi clasamentul etapei de evaluare analitică </w:t>
      </w:r>
      <w:r w:rsidR="00A316EA" w:rsidRPr="007C1F8C">
        <w:rPr>
          <w:rFonts w:ascii="Trebuchet MS" w:hAnsi="Trebuchet MS" w:cs="Tahoma"/>
          <w:sz w:val="20"/>
          <w:szCs w:val="20"/>
        </w:rPr>
        <w:t>va rezulta lista</w:t>
      </w:r>
      <w:r w:rsidRPr="007C1F8C">
        <w:rPr>
          <w:rFonts w:ascii="Trebuchet MS" w:hAnsi="Trebuchet MS" w:cs="Tahoma"/>
          <w:sz w:val="20"/>
          <w:szCs w:val="20"/>
        </w:rPr>
        <w:t xml:space="preserve"> de proiecte  întocmită de către Autoritatea Urbană. </w:t>
      </w:r>
      <w:r w:rsidRPr="00F34497">
        <w:rPr>
          <w:rFonts w:ascii="Trebuchet MS" w:hAnsi="Trebuchet MS" w:cs="Tahoma"/>
          <w:sz w:val="20"/>
          <w:szCs w:val="20"/>
        </w:rPr>
        <w:t xml:space="preserve">Din această listă se vor extrage acele proiecte finanţabile prin intermediul FESI în perioada 2014-2020, documentul rezultat constituindu-de în </w:t>
      </w:r>
      <w:r w:rsidRPr="00F34497">
        <w:rPr>
          <w:rFonts w:ascii="Trebuchet MS" w:hAnsi="Trebuchet MS"/>
          <w:sz w:val="20"/>
          <w:szCs w:val="20"/>
        </w:rPr>
        <w:t>Documentul Justificativ pentru finanțare din FESI 2014-2020.</w:t>
      </w:r>
    </w:p>
    <w:p w:rsidR="00C26B7C" w:rsidRDefault="00C26B7C" w:rsidP="00F34497">
      <w:pPr>
        <w:spacing w:before="120" w:after="120" w:line="240" w:lineRule="auto"/>
        <w:jc w:val="both"/>
        <w:rPr>
          <w:rFonts w:ascii="Trebuchet MS" w:eastAsia="Times New Roman" w:hAnsi="Trebuchet MS" w:cs="Times New Roman"/>
          <w:b/>
          <w:sz w:val="20"/>
          <w:szCs w:val="20"/>
        </w:rPr>
      </w:pPr>
    </w:p>
    <w:p w:rsidR="00C26B7C" w:rsidRDefault="00C26B7C" w:rsidP="00F34497">
      <w:pPr>
        <w:spacing w:before="120" w:after="120" w:line="240" w:lineRule="auto"/>
        <w:jc w:val="both"/>
        <w:rPr>
          <w:rFonts w:ascii="Trebuchet MS" w:eastAsia="Times New Roman" w:hAnsi="Trebuchet MS" w:cs="Times New Roman"/>
          <w:b/>
          <w:sz w:val="20"/>
          <w:szCs w:val="20"/>
        </w:rPr>
      </w:pPr>
      <w:r w:rsidRPr="00C26B7C">
        <w:rPr>
          <w:rFonts w:ascii="Trebuchet MS" w:eastAsia="Times New Roman" w:hAnsi="Trebuchet MS" w:cs="Times New Roman"/>
          <w:b/>
          <w:sz w:val="20"/>
          <w:szCs w:val="20"/>
        </w:rPr>
        <w:t xml:space="preserve">Lista de proiecte prioritare </w:t>
      </w:r>
      <w:r>
        <w:rPr>
          <w:rFonts w:ascii="Trebuchet MS" w:eastAsia="Times New Roman" w:hAnsi="Trebuchet MS" w:cs="Times New Roman"/>
          <w:b/>
          <w:sz w:val="20"/>
          <w:szCs w:val="20"/>
        </w:rPr>
        <w:t xml:space="preserve">selectate de către autoritaea urbană nu poate fi modificată în perioada de implementare a Documentului Justificativ pentru FESI 2014-2020. </w:t>
      </w:r>
    </w:p>
    <w:p w:rsidR="00C60BCA" w:rsidRDefault="00A316EA" w:rsidP="00F34497">
      <w:pPr>
        <w:spacing w:before="120" w:after="120" w:line="240" w:lineRule="auto"/>
        <w:jc w:val="both"/>
        <w:rPr>
          <w:rFonts w:ascii="Trebuchet MS" w:eastAsia="Times New Roman" w:hAnsi="Trebuchet MS" w:cs="Times New Roman"/>
          <w:sz w:val="20"/>
          <w:szCs w:val="20"/>
        </w:rPr>
      </w:pPr>
      <w:r w:rsidRPr="00F34497">
        <w:rPr>
          <w:rFonts w:ascii="Trebuchet MS" w:eastAsia="Times New Roman" w:hAnsi="Trebuchet MS" w:cs="Times New Roman"/>
          <w:b/>
          <w:sz w:val="20"/>
          <w:szCs w:val="20"/>
        </w:rPr>
        <w:t>Încadrarea proiectelor prioritare în bugetul operațional pentru perioada 2014-2020</w:t>
      </w:r>
      <w:r w:rsidRPr="00F34497">
        <w:rPr>
          <w:rFonts w:ascii="Trebuchet MS" w:eastAsia="Times New Roman" w:hAnsi="Trebuchet MS" w:cs="Times New Roman"/>
          <w:sz w:val="20"/>
          <w:szCs w:val="20"/>
        </w:rPr>
        <w:t>. Lista de proiecte întocmită de către Autoritatea Urbană trebuie să se încadreze, de regulă, în valoarea bugetului operațional pentru perioada de implementare 2014-2023 pentru UAT/ADI-ul/parteneriatul între UAT-urile din zonă metropolitană/zona urbană funcțională. Se poate admite ca bugetul listei proiectelor selectate de Autoritatea Urbană să depășească cu maxim 10% bugetul operațional pentru perioada de implementare 2014-2023.</w:t>
      </w:r>
      <w:r w:rsidR="00F34497" w:rsidRPr="00F34497">
        <w:rPr>
          <w:rFonts w:ascii="Trebuchet MS" w:eastAsia="Times New Roman" w:hAnsi="Trebuchet MS" w:cs="Times New Roman"/>
          <w:sz w:val="20"/>
          <w:szCs w:val="20"/>
        </w:rPr>
        <w:t xml:space="preserve"> </w:t>
      </w:r>
    </w:p>
    <w:p w:rsidR="00C60BCA" w:rsidRDefault="00F34497" w:rsidP="00C60BCA">
      <w:pPr>
        <w:spacing w:before="120" w:after="120" w:line="240" w:lineRule="auto"/>
        <w:jc w:val="both"/>
        <w:rPr>
          <w:rFonts w:ascii="Trebuchet MS" w:eastAsia="Times New Roman" w:hAnsi="Trebuchet MS" w:cs="Times New Roman"/>
          <w:sz w:val="20"/>
          <w:szCs w:val="24"/>
        </w:rPr>
      </w:pPr>
      <w:r w:rsidRPr="00F34497">
        <w:rPr>
          <w:rFonts w:ascii="Trebuchet MS" w:eastAsia="Times New Roman" w:hAnsi="Trebuchet MS" w:cs="Times New Roman"/>
          <w:sz w:val="20"/>
          <w:szCs w:val="20"/>
        </w:rPr>
        <w:t xml:space="preserve">În procesul de prioritizare și selecție a proiectelor prioritare, Autoritatea Urbană se va asigura că bugetul total proiectelor eligibile în cadrul axei prioritare 4 a POR nu depășește 200% din alocarea financiară la nivelul </w:t>
      </w:r>
      <w:r>
        <w:rPr>
          <w:rFonts w:ascii="Trebuchet MS" w:eastAsia="Times New Roman" w:hAnsi="Trebuchet MS" w:cs="Times New Roman"/>
          <w:sz w:val="20"/>
          <w:szCs w:val="20"/>
        </w:rPr>
        <w:t>municipiului reședință de județ</w:t>
      </w:r>
      <w:r w:rsidRPr="00F34497">
        <w:rPr>
          <w:rFonts w:ascii="Trebuchet MS" w:eastAsia="Times New Roman" w:hAnsi="Trebuchet MS" w:cs="Times New Roman"/>
          <w:sz w:val="20"/>
          <w:szCs w:val="20"/>
        </w:rPr>
        <w:t>.</w:t>
      </w:r>
      <w:r w:rsidR="00C60BCA">
        <w:rPr>
          <w:rFonts w:ascii="Trebuchet MS" w:eastAsia="Times New Roman" w:hAnsi="Trebuchet MS" w:cs="Times New Roman"/>
          <w:sz w:val="20"/>
          <w:szCs w:val="20"/>
        </w:rPr>
        <w:t xml:space="preserve"> </w:t>
      </w:r>
      <w:r w:rsidR="00C60BCA" w:rsidRPr="00F34497">
        <w:rPr>
          <w:rFonts w:ascii="Trebuchet MS" w:eastAsia="Times New Roman" w:hAnsi="Trebuchet MS" w:cs="Times New Roman"/>
          <w:sz w:val="20"/>
          <w:szCs w:val="20"/>
        </w:rPr>
        <w:t>Totodată trebuie avut în vedere ca proiectele eligibile pentru finanțare în cadrul axei prioritare 4 a POR 2014-2020 acoperă cel puțin 2 Obiective Tematice, iar unul dintre Obiectivele Tematice este OT 4</w:t>
      </w:r>
      <w:r w:rsidR="00C60BCA">
        <w:rPr>
          <w:rFonts w:ascii="Trebuchet MS" w:eastAsia="Times New Roman" w:hAnsi="Trebuchet MS" w:cs="Times New Roman"/>
          <w:sz w:val="20"/>
          <w:szCs w:val="20"/>
        </w:rPr>
        <w:t xml:space="preserve"> care nu trebuie să nu reprezinte mai mult de 85 % din valoarea alocată.</w:t>
      </w:r>
      <w:r w:rsidR="00C60BCA" w:rsidRPr="00C60BCA">
        <w:rPr>
          <w:rFonts w:ascii="Trebuchet MS" w:eastAsia="Times New Roman" w:hAnsi="Trebuchet MS" w:cs="Times New Roman"/>
          <w:sz w:val="20"/>
          <w:szCs w:val="24"/>
        </w:rPr>
        <w:t xml:space="preserve"> </w:t>
      </w:r>
      <w:r w:rsidR="00C60BCA" w:rsidRPr="00C60BCA">
        <w:rPr>
          <w:rFonts w:ascii="Trebuchet MS" w:eastAsia="Times New Roman" w:hAnsi="Trebuchet MS" w:cs="Times New Roman"/>
          <w:sz w:val="20"/>
          <w:szCs w:val="24"/>
        </w:rPr>
        <w:t xml:space="preserve">Se vor selecta </w:t>
      </w:r>
      <w:r w:rsidR="00C60BCA">
        <w:rPr>
          <w:rFonts w:ascii="Trebuchet MS" w:eastAsia="Times New Roman" w:hAnsi="Trebuchet MS" w:cs="Times New Roman"/>
          <w:sz w:val="20"/>
          <w:szCs w:val="24"/>
        </w:rPr>
        <w:t xml:space="preserve">pentru finanțare </w:t>
      </w:r>
      <w:r w:rsidR="00C60BCA" w:rsidRPr="00C60BCA">
        <w:rPr>
          <w:rFonts w:ascii="Trebuchet MS" w:eastAsia="Times New Roman" w:hAnsi="Trebuchet MS" w:cs="Times New Roman"/>
          <w:sz w:val="20"/>
          <w:szCs w:val="24"/>
        </w:rPr>
        <w:t>proiectele care au obtinut cele mai mari punctaje, astfel încât să se acopere alocarea financiară. Rest</w:t>
      </w:r>
      <w:bookmarkStart w:id="0" w:name="_GoBack"/>
      <w:bookmarkEnd w:id="0"/>
      <w:r w:rsidR="00C60BCA" w:rsidRPr="00C60BCA">
        <w:rPr>
          <w:rFonts w:ascii="Trebuchet MS" w:eastAsia="Times New Roman" w:hAnsi="Trebuchet MS" w:cs="Times New Roman"/>
          <w:sz w:val="20"/>
          <w:szCs w:val="24"/>
        </w:rPr>
        <w:t>ul proiectelor vor fi incluse in ordinea punctajelor in lista de rezerva.</w:t>
      </w:r>
      <w:r w:rsidR="008D560C">
        <w:rPr>
          <w:rFonts w:ascii="Trebuchet MS" w:eastAsia="Times New Roman" w:hAnsi="Trebuchet MS" w:cs="Times New Roman"/>
          <w:sz w:val="20"/>
          <w:szCs w:val="24"/>
        </w:rPr>
        <w:t xml:space="preserve"> </w:t>
      </w:r>
    </w:p>
    <w:p w:rsidR="008D560C" w:rsidRDefault="008D560C" w:rsidP="00C60BCA">
      <w:pPr>
        <w:spacing w:before="120" w:after="120" w:line="240" w:lineRule="auto"/>
        <w:jc w:val="both"/>
        <w:rPr>
          <w:rFonts w:ascii="Trebuchet MS" w:eastAsia="Times New Roman" w:hAnsi="Trebuchet MS" w:cs="Times New Roman"/>
          <w:sz w:val="20"/>
          <w:szCs w:val="24"/>
        </w:rPr>
      </w:pPr>
      <w:r>
        <w:rPr>
          <w:rFonts w:ascii="Trebuchet MS" w:eastAsia="Times New Roman" w:hAnsi="Trebuchet MS" w:cs="Times New Roman"/>
          <w:sz w:val="20"/>
          <w:szCs w:val="24"/>
        </w:rPr>
        <w:t>Pentru asigurarea încadrării în alocările orienative pre-determinate la nivel regional pe fiecare prioritate de investiție</w:t>
      </w:r>
      <w:r w:rsidR="00FD407B">
        <w:rPr>
          <w:rFonts w:ascii="Trebuchet MS" w:eastAsia="Times New Roman" w:hAnsi="Trebuchet MS" w:cs="Times New Roman"/>
          <w:sz w:val="20"/>
          <w:szCs w:val="24"/>
        </w:rPr>
        <w:t xml:space="preserve">, </w:t>
      </w:r>
      <w:r>
        <w:rPr>
          <w:rFonts w:ascii="Trebuchet MS" w:eastAsia="Times New Roman" w:hAnsi="Trebuchet MS" w:cs="Times New Roman"/>
          <w:sz w:val="20"/>
          <w:szCs w:val="24"/>
        </w:rPr>
        <w:t xml:space="preserve">Structura de sprijinire a dezvoltării urbane constituită în cadrul ADR poate propune ajustarea </w:t>
      </w:r>
      <w:r>
        <w:rPr>
          <w:rFonts w:ascii="Trebuchet MS" w:eastAsia="Times New Roman" w:hAnsi="Trebuchet MS" w:cs="Times New Roman"/>
          <w:sz w:val="20"/>
          <w:szCs w:val="24"/>
        </w:rPr>
        <w:t xml:space="preserve">alocările specifice </w:t>
      </w:r>
      <w:r w:rsidR="00E51598">
        <w:rPr>
          <w:rFonts w:ascii="Trebuchet MS" w:eastAsia="Times New Roman" w:hAnsi="Trebuchet MS" w:cs="Times New Roman"/>
          <w:sz w:val="20"/>
          <w:szCs w:val="24"/>
        </w:rPr>
        <w:t xml:space="preserve">cu </w:t>
      </w:r>
      <w:r>
        <w:rPr>
          <w:rFonts w:ascii="Trebuchet MS" w:eastAsia="Times New Roman" w:hAnsi="Trebuchet MS" w:cs="Times New Roman"/>
          <w:sz w:val="20"/>
          <w:szCs w:val="24"/>
        </w:rPr>
        <w:t>nevoi</w:t>
      </w:r>
      <w:r w:rsidR="00E51598">
        <w:rPr>
          <w:rFonts w:ascii="Trebuchet MS" w:eastAsia="Times New Roman" w:hAnsi="Trebuchet MS" w:cs="Times New Roman"/>
          <w:sz w:val="20"/>
          <w:szCs w:val="24"/>
        </w:rPr>
        <w:t xml:space="preserve">le de investiție ale </w:t>
      </w:r>
      <w:r>
        <w:rPr>
          <w:rFonts w:ascii="Trebuchet MS" w:eastAsia="Times New Roman" w:hAnsi="Trebuchet MS" w:cs="Times New Roman"/>
          <w:sz w:val="20"/>
          <w:szCs w:val="24"/>
        </w:rPr>
        <w:t xml:space="preserve">fiecărui muncipiu reședință de județ.     </w:t>
      </w:r>
    </w:p>
    <w:p w:rsidR="00A8750E" w:rsidRDefault="00D93FB7" w:rsidP="00250A9F">
      <w:pPr>
        <w:spacing w:before="120" w:after="120" w:line="240" w:lineRule="auto"/>
        <w:jc w:val="both"/>
        <w:rPr>
          <w:rFonts w:ascii="Trebuchet MS" w:eastAsia="Times New Roman" w:hAnsi="Trebuchet MS" w:cs="Times New Roman"/>
          <w:sz w:val="20"/>
          <w:szCs w:val="20"/>
        </w:rPr>
      </w:pPr>
      <w:r w:rsidRPr="007C1F8C">
        <w:rPr>
          <w:rFonts w:ascii="Trebuchet MS" w:hAnsi="Trebuchet MS"/>
          <w:sz w:val="20"/>
          <w:szCs w:val="20"/>
        </w:rPr>
        <w:t xml:space="preserve">Procesul de prioritizare și selecție a proiectelor nu va dura mai mult de </w:t>
      </w:r>
      <w:r w:rsidR="00F34497">
        <w:rPr>
          <w:rFonts w:ascii="Trebuchet MS" w:hAnsi="Trebuchet MS"/>
          <w:sz w:val="20"/>
          <w:szCs w:val="20"/>
        </w:rPr>
        <w:t>...</w:t>
      </w:r>
      <w:r w:rsidRPr="007C1F8C">
        <w:rPr>
          <w:rFonts w:ascii="Trebuchet MS" w:hAnsi="Trebuchet MS"/>
          <w:sz w:val="20"/>
          <w:szCs w:val="20"/>
        </w:rPr>
        <w:t xml:space="preserve"> de zile lucrătoare de la </w:t>
      </w:r>
      <w:r w:rsidRPr="007C1F8C">
        <w:rPr>
          <w:rFonts w:ascii="Trebuchet MS" w:eastAsia="Times New Roman" w:hAnsi="Trebuchet MS" w:cs="Times New Roman"/>
          <w:sz w:val="20"/>
          <w:szCs w:val="20"/>
        </w:rPr>
        <w:t>acceptarea de către Autoritatea de Management pentru Programul Operaţional Regional a rezultatului evaluării SIDU şi a PMUD.</w:t>
      </w:r>
    </w:p>
    <w:p w:rsidR="00C60BCA" w:rsidRDefault="00C60BCA" w:rsidP="00250A9F">
      <w:pPr>
        <w:spacing w:before="120" w:after="120" w:line="240" w:lineRule="auto"/>
        <w:jc w:val="both"/>
        <w:rPr>
          <w:rFonts w:ascii="Trebuchet MS" w:eastAsia="Times New Roman" w:hAnsi="Trebuchet MS" w:cs="Times New Roman"/>
          <w:sz w:val="20"/>
          <w:szCs w:val="20"/>
        </w:rPr>
      </w:pPr>
    </w:p>
    <w:p w:rsidR="00C60BCA" w:rsidRDefault="00C60BCA">
      <w:pPr>
        <w:spacing w:before="120" w:after="120" w:line="240" w:lineRule="auto"/>
        <w:jc w:val="both"/>
        <w:rPr>
          <w:rFonts w:ascii="Trebuchet MS" w:eastAsia="Times New Roman" w:hAnsi="Trebuchet MS" w:cs="Times New Roman"/>
          <w:sz w:val="20"/>
          <w:szCs w:val="20"/>
        </w:rPr>
      </w:pPr>
    </w:p>
    <w:sectPr w:rsidR="00C60BCA" w:rsidSect="00DE73F3">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72" w:rsidRDefault="00A45C72" w:rsidP="003A70FA">
      <w:pPr>
        <w:spacing w:after="0" w:line="240" w:lineRule="auto"/>
      </w:pPr>
      <w:r>
        <w:separator/>
      </w:r>
    </w:p>
  </w:endnote>
  <w:endnote w:type="continuationSeparator" w:id="0">
    <w:p w:rsidR="00A45C72" w:rsidRDefault="00A45C72"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3531"/>
      <w:docPartObj>
        <w:docPartGallery w:val="Page Numbers (Bottom of Page)"/>
        <w:docPartUnique/>
      </w:docPartObj>
    </w:sdtPr>
    <w:sdtEndPr>
      <w:rPr>
        <w:noProof/>
      </w:rPr>
    </w:sdtEndPr>
    <w:sdtContent>
      <w:p w:rsidR="0028548B" w:rsidRDefault="0028548B">
        <w:pPr>
          <w:pStyle w:val="Footer"/>
          <w:jc w:val="center"/>
        </w:pPr>
        <w:r>
          <w:fldChar w:fldCharType="begin"/>
        </w:r>
        <w:r>
          <w:instrText xml:space="preserve"> PAGE   \* MERGEFORMAT </w:instrText>
        </w:r>
        <w:r>
          <w:fldChar w:fldCharType="separate"/>
        </w:r>
        <w:r w:rsidR="00B33311">
          <w:rPr>
            <w:noProof/>
          </w:rPr>
          <w:t>5</w:t>
        </w:r>
        <w:r>
          <w:rPr>
            <w:noProof/>
          </w:rPr>
          <w:fldChar w:fldCharType="end"/>
        </w:r>
      </w:p>
    </w:sdtContent>
  </w:sdt>
  <w:p w:rsidR="0028548B" w:rsidRDefault="00285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72" w:rsidRDefault="00A45C72" w:rsidP="003A70FA">
      <w:pPr>
        <w:spacing w:after="0" w:line="240" w:lineRule="auto"/>
      </w:pPr>
      <w:r>
        <w:separator/>
      </w:r>
    </w:p>
  </w:footnote>
  <w:footnote w:type="continuationSeparator" w:id="0">
    <w:p w:rsidR="00A45C72" w:rsidRDefault="00A45C72" w:rsidP="003A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28548B" w:rsidRPr="003A70FA" w:rsidTr="0028548B">
      <w:tc>
        <w:tcPr>
          <w:tcW w:w="7560" w:type="dxa"/>
        </w:tcPr>
        <w:p w:rsidR="0028548B" w:rsidRPr="003A70FA" w:rsidRDefault="0028548B" w:rsidP="003A70FA">
          <w:pPr>
            <w:spacing w:after="0" w:line="240" w:lineRule="auto"/>
            <w:rPr>
              <w:rFonts w:ascii="Trebuchet MS" w:eastAsia="Times New Roman" w:hAnsi="Trebuchet MS" w:cs="Times New Roman"/>
              <w:color w:val="808080"/>
              <w:sz w:val="14"/>
              <w:szCs w:val="24"/>
            </w:rPr>
          </w:pPr>
          <w:r w:rsidRPr="003A70FA">
            <w:rPr>
              <w:rFonts w:ascii="Trebuchet MS" w:eastAsia="Times New Roman" w:hAnsi="Trebuchet MS" w:cs="Times New Roman"/>
              <w:color w:val="808080"/>
              <w:sz w:val="14"/>
              <w:szCs w:val="24"/>
            </w:rPr>
            <w:t>Programul Operaţional Regional 2014-2020</w:t>
          </w:r>
        </w:p>
      </w:tc>
      <w:tc>
        <w:tcPr>
          <w:tcW w:w="1260" w:type="dxa"/>
        </w:tcPr>
        <w:p w:rsidR="0028548B" w:rsidRPr="003A70FA" w:rsidRDefault="0028548B" w:rsidP="003A70FA">
          <w:pPr>
            <w:spacing w:after="0" w:line="240" w:lineRule="auto"/>
            <w:jc w:val="right"/>
            <w:rPr>
              <w:rFonts w:ascii="Trebuchet MS" w:eastAsia="Times New Roman" w:hAnsi="Trebuchet MS" w:cs="Times New Roman"/>
              <w:color w:val="808080"/>
              <w:sz w:val="14"/>
              <w:szCs w:val="24"/>
            </w:rPr>
          </w:pPr>
          <w:r w:rsidRPr="003A70FA">
            <w:rPr>
              <w:rFonts w:ascii="Trebuchet MS" w:eastAsia="Times New Roman" w:hAnsi="Trebuchet MS" w:cs="Times New Roman"/>
              <w:color w:val="808080"/>
              <w:sz w:val="14"/>
              <w:szCs w:val="24"/>
            </w:rPr>
            <w:fldChar w:fldCharType="begin"/>
          </w:r>
          <w:r w:rsidRPr="003A70FA">
            <w:rPr>
              <w:rFonts w:ascii="Trebuchet MS" w:eastAsia="Times New Roman" w:hAnsi="Trebuchet MS" w:cs="Times New Roman"/>
              <w:color w:val="808080"/>
              <w:sz w:val="14"/>
              <w:szCs w:val="24"/>
            </w:rPr>
            <w:instrText xml:space="preserve"> SAVEDATE \@ "MMMM yyyy" \* MERGEFORMAT </w:instrText>
          </w:r>
          <w:r w:rsidRPr="003A70FA">
            <w:rPr>
              <w:rFonts w:ascii="Trebuchet MS" w:eastAsia="Times New Roman" w:hAnsi="Trebuchet MS" w:cs="Times New Roman"/>
              <w:color w:val="808080"/>
              <w:sz w:val="14"/>
              <w:szCs w:val="24"/>
            </w:rPr>
            <w:fldChar w:fldCharType="separate"/>
          </w:r>
          <w:r w:rsidR="00C60BCA">
            <w:rPr>
              <w:rFonts w:ascii="Trebuchet MS" w:eastAsia="Times New Roman" w:hAnsi="Trebuchet MS" w:cs="Times New Roman"/>
              <w:noProof/>
              <w:color w:val="808080"/>
              <w:sz w:val="14"/>
              <w:szCs w:val="24"/>
            </w:rPr>
            <w:t>decembrie 2015</w:t>
          </w:r>
          <w:r w:rsidRPr="003A70FA">
            <w:rPr>
              <w:rFonts w:ascii="Trebuchet MS" w:eastAsia="Times New Roman" w:hAnsi="Trebuchet MS" w:cs="Times New Roman"/>
              <w:color w:val="808080"/>
              <w:sz w:val="14"/>
              <w:szCs w:val="24"/>
            </w:rPr>
            <w:fldChar w:fldCharType="end"/>
          </w:r>
        </w:p>
      </w:tc>
    </w:tr>
    <w:tr w:rsidR="0028548B" w:rsidRPr="003A70FA" w:rsidTr="0028548B">
      <w:trPr>
        <w:cantSplit/>
      </w:trPr>
      <w:tc>
        <w:tcPr>
          <w:tcW w:w="8820" w:type="dxa"/>
          <w:gridSpan w:val="2"/>
        </w:tcPr>
        <w:p w:rsidR="0028548B" w:rsidRPr="003A70FA" w:rsidRDefault="0028548B" w:rsidP="003A70FA">
          <w:pPr>
            <w:spacing w:after="0" w:line="240" w:lineRule="auto"/>
            <w:jc w:val="right"/>
            <w:rPr>
              <w:rFonts w:ascii="Trebuchet MS" w:eastAsia="Times New Roman" w:hAnsi="Trebuchet MS" w:cs="Times New Roman"/>
              <w:b/>
              <w:bCs/>
              <w:color w:val="808080"/>
              <w:sz w:val="14"/>
              <w:szCs w:val="24"/>
            </w:rPr>
          </w:pPr>
          <w:r w:rsidRPr="003A70FA">
            <w:rPr>
              <w:rFonts w:ascii="Trebuchet MS" w:eastAsia="Times New Roman" w:hAnsi="Trebuchet MS" w:cs="Times New Roman"/>
              <w:b/>
              <w:bCs/>
              <w:color w:val="808080"/>
              <w:sz w:val="14"/>
              <w:szCs w:val="24"/>
            </w:rPr>
            <w:t>Ghidul Solicitantului</w:t>
          </w:r>
        </w:p>
      </w:tc>
    </w:tr>
  </w:tbl>
  <w:p w:rsidR="0028548B" w:rsidRPr="003A70FA" w:rsidRDefault="0028548B" w:rsidP="003A70FA">
    <w:pPr>
      <w:spacing w:after="0" w:line="240" w:lineRule="auto"/>
      <w:jc w:val="right"/>
      <w:rPr>
        <w:rFonts w:ascii="Trebuchet MS" w:eastAsia="Times New Roman" w:hAnsi="Trebuchet MS" w:cs="Times New Roman"/>
        <w:sz w:val="16"/>
        <w:szCs w:val="24"/>
      </w:rPr>
    </w:pPr>
    <w:r w:rsidRPr="003A70FA">
      <w:rPr>
        <w:rFonts w:ascii="Trebuchet MS" w:eastAsia="Times New Roman" w:hAnsi="Trebuchet MS" w:cs="Times New Roman"/>
        <w:b/>
        <w:bCs/>
        <w:color w:val="808080"/>
        <w:sz w:val="14"/>
        <w:szCs w:val="24"/>
      </w:rPr>
      <w:t>Condiții generale de implementare a dezvoltării urbane durabile – Axa prioritară 4</w:t>
    </w:r>
  </w:p>
  <w:p w:rsidR="0028548B" w:rsidRDefault="0028548B" w:rsidP="00C16E3D">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324"/>
    <w:multiLevelType w:val="hybridMultilevel"/>
    <w:tmpl w:val="F086F646"/>
    <w:lvl w:ilvl="0" w:tplc="925A13AA">
      <w:start w:val="2"/>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CD6C6D"/>
    <w:multiLevelType w:val="hybridMultilevel"/>
    <w:tmpl w:val="851E64D2"/>
    <w:lvl w:ilvl="0" w:tplc="7BA4C1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1D56C6"/>
    <w:multiLevelType w:val="hybridMultilevel"/>
    <w:tmpl w:val="CF16FA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2D357A"/>
    <w:multiLevelType w:val="hybridMultilevel"/>
    <w:tmpl w:val="73D2D6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70D51B1"/>
    <w:multiLevelType w:val="hybridMultilevel"/>
    <w:tmpl w:val="845652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CDC3A42"/>
    <w:multiLevelType w:val="hybridMultilevel"/>
    <w:tmpl w:val="5958EA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52B79AC"/>
    <w:multiLevelType w:val="hybridMultilevel"/>
    <w:tmpl w:val="0B54DF4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4412368F"/>
    <w:multiLevelType w:val="hybridMultilevel"/>
    <w:tmpl w:val="0E4AA8FE"/>
    <w:lvl w:ilvl="0" w:tplc="B636DCE6">
      <w:start w:val="1"/>
      <w:numFmt w:val="decimal"/>
      <w:lvlText w:val="%1)"/>
      <w:lvlJc w:val="left"/>
      <w:pPr>
        <w:ind w:left="360" w:hanging="360"/>
      </w:pPr>
      <w:rPr>
        <w:b/>
      </w:rPr>
    </w:lvl>
    <w:lvl w:ilvl="1" w:tplc="0418000B">
      <w:start w:val="1"/>
      <w:numFmt w:val="bullet"/>
      <w:lvlText w:val=""/>
      <w:lvlJc w:val="left"/>
      <w:pPr>
        <w:ind w:left="1080" w:hanging="360"/>
      </w:pPr>
      <w:rPr>
        <w:rFonts w:ascii="Wingdings" w:hAnsi="Wingdings" w:hint="default"/>
      </w:rPr>
    </w:lvl>
    <w:lvl w:ilvl="2" w:tplc="0418000D">
      <w:start w:val="1"/>
      <w:numFmt w:val="bullet"/>
      <w:lvlText w:val=""/>
      <w:lvlJc w:val="left"/>
      <w:pPr>
        <w:ind w:left="4292" w:hanging="180"/>
      </w:pPr>
      <w:rPr>
        <w:rFonts w:ascii="Wingdings" w:hAnsi="Wingdings" w:hint="default"/>
      </w:r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8">
    <w:nsid w:val="464045CA"/>
    <w:multiLevelType w:val="hybridMultilevel"/>
    <w:tmpl w:val="1E724F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6903EF0"/>
    <w:multiLevelType w:val="hybridMultilevel"/>
    <w:tmpl w:val="5B6CBE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B3F729F"/>
    <w:multiLevelType w:val="hybridMultilevel"/>
    <w:tmpl w:val="73309C2A"/>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4F204E87"/>
    <w:multiLevelType w:val="hybridMultilevel"/>
    <w:tmpl w:val="A302FE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24859F0"/>
    <w:multiLevelType w:val="hybridMultilevel"/>
    <w:tmpl w:val="C0621F8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5933C5E"/>
    <w:multiLevelType w:val="hybridMultilevel"/>
    <w:tmpl w:val="75829914"/>
    <w:lvl w:ilvl="0" w:tplc="0418000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BB165B2"/>
    <w:multiLevelType w:val="hybridMultilevel"/>
    <w:tmpl w:val="799CCD8A"/>
    <w:lvl w:ilvl="0" w:tplc="2C123E12">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6F0F54"/>
    <w:multiLevelType w:val="hybridMultilevel"/>
    <w:tmpl w:val="C19406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F9233E0"/>
    <w:multiLevelType w:val="hybridMultilevel"/>
    <w:tmpl w:val="EFAE860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29C4DCF"/>
    <w:multiLevelType w:val="hybridMultilevel"/>
    <w:tmpl w:val="8BC8DE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28B1E61"/>
    <w:multiLevelType w:val="hybridMultilevel"/>
    <w:tmpl w:val="6A76993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2EB6873"/>
    <w:multiLevelType w:val="hybridMultilevel"/>
    <w:tmpl w:val="7582991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EC817E1"/>
    <w:multiLevelType w:val="hybridMultilevel"/>
    <w:tmpl w:val="8D14B5E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20"/>
  </w:num>
  <w:num w:numId="4">
    <w:abstractNumId w:val="15"/>
  </w:num>
  <w:num w:numId="5">
    <w:abstractNumId w:val="16"/>
  </w:num>
  <w:num w:numId="6">
    <w:abstractNumId w:val="6"/>
  </w:num>
  <w:num w:numId="7">
    <w:abstractNumId w:val="4"/>
  </w:num>
  <w:num w:numId="8">
    <w:abstractNumId w:val="9"/>
  </w:num>
  <w:num w:numId="9">
    <w:abstractNumId w:val="2"/>
  </w:num>
  <w:num w:numId="10">
    <w:abstractNumId w:val="1"/>
  </w:num>
  <w:num w:numId="11">
    <w:abstractNumId w:val="12"/>
  </w:num>
  <w:num w:numId="12">
    <w:abstractNumId w:val="11"/>
  </w:num>
  <w:num w:numId="13">
    <w:abstractNumId w:val="10"/>
  </w:num>
  <w:num w:numId="14">
    <w:abstractNumId w:val="5"/>
  </w:num>
  <w:num w:numId="15">
    <w:abstractNumId w:val="3"/>
  </w:num>
  <w:num w:numId="16">
    <w:abstractNumId w:val="14"/>
  </w:num>
  <w:num w:numId="17">
    <w:abstractNumId w:val="8"/>
  </w:num>
  <w:num w:numId="18">
    <w:abstractNumId w:val="17"/>
  </w:num>
  <w:num w:numId="19">
    <w:abstractNumId w:val="0"/>
  </w:num>
  <w:num w:numId="20">
    <w:abstractNumId w:val="19"/>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12B3F"/>
    <w:rsid w:val="00015E16"/>
    <w:rsid w:val="00033BC6"/>
    <w:rsid w:val="0004509B"/>
    <w:rsid w:val="00045765"/>
    <w:rsid w:val="000662C1"/>
    <w:rsid w:val="00087947"/>
    <w:rsid w:val="000A42FE"/>
    <w:rsid w:val="000C51F2"/>
    <w:rsid w:val="000E4E76"/>
    <w:rsid w:val="000E591F"/>
    <w:rsid w:val="000F129B"/>
    <w:rsid w:val="00112BCE"/>
    <w:rsid w:val="001A016D"/>
    <w:rsid w:val="001B6117"/>
    <w:rsid w:val="001B6C4D"/>
    <w:rsid w:val="001C009E"/>
    <w:rsid w:val="001D15AD"/>
    <w:rsid w:val="001D58B1"/>
    <w:rsid w:val="00204251"/>
    <w:rsid w:val="002320E9"/>
    <w:rsid w:val="00234339"/>
    <w:rsid w:val="002422A8"/>
    <w:rsid w:val="00250A9F"/>
    <w:rsid w:val="0026307C"/>
    <w:rsid w:val="00273105"/>
    <w:rsid w:val="00274B8A"/>
    <w:rsid w:val="00283DE2"/>
    <w:rsid w:val="002844FB"/>
    <w:rsid w:val="00285421"/>
    <w:rsid w:val="0028548B"/>
    <w:rsid w:val="002C015C"/>
    <w:rsid w:val="002C7AAD"/>
    <w:rsid w:val="002D0362"/>
    <w:rsid w:val="002E4434"/>
    <w:rsid w:val="002E6D15"/>
    <w:rsid w:val="002F6C0E"/>
    <w:rsid w:val="002F6FE7"/>
    <w:rsid w:val="00336807"/>
    <w:rsid w:val="003401D2"/>
    <w:rsid w:val="00344DCA"/>
    <w:rsid w:val="0038429F"/>
    <w:rsid w:val="00396469"/>
    <w:rsid w:val="003A70FA"/>
    <w:rsid w:val="003B1A70"/>
    <w:rsid w:val="003C0E27"/>
    <w:rsid w:val="003D1B3C"/>
    <w:rsid w:val="003D1ED2"/>
    <w:rsid w:val="003E032E"/>
    <w:rsid w:val="003E6030"/>
    <w:rsid w:val="0040478D"/>
    <w:rsid w:val="00407A5B"/>
    <w:rsid w:val="00410106"/>
    <w:rsid w:val="0042377B"/>
    <w:rsid w:val="00435B8F"/>
    <w:rsid w:val="00441EDA"/>
    <w:rsid w:val="0044277C"/>
    <w:rsid w:val="004575AA"/>
    <w:rsid w:val="00461CC7"/>
    <w:rsid w:val="0046545A"/>
    <w:rsid w:val="00471D64"/>
    <w:rsid w:val="004815DB"/>
    <w:rsid w:val="00482294"/>
    <w:rsid w:val="004832F8"/>
    <w:rsid w:val="00492068"/>
    <w:rsid w:val="00493403"/>
    <w:rsid w:val="004B12B0"/>
    <w:rsid w:val="004C6217"/>
    <w:rsid w:val="00507351"/>
    <w:rsid w:val="00514F1A"/>
    <w:rsid w:val="00531A34"/>
    <w:rsid w:val="0053465F"/>
    <w:rsid w:val="00547DD9"/>
    <w:rsid w:val="005A7609"/>
    <w:rsid w:val="005D1477"/>
    <w:rsid w:val="005D281B"/>
    <w:rsid w:val="005D48D7"/>
    <w:rsid w:val="005D5DAD"/>
    <w:rsid w:val="005E6D5A"/>
    <w:rsid w:val="00601F9C"/>
    <w:rsid w:val="00676586"/>
    <w:rsid w:val="00681F20"/>
    <w:rsid w:val="0068560C"/>
    <w:rsid w:val="00687DAB"/>
    <w:rsid w:val="006C40D7"/>
    <w:rsid w:val="006F5F91"/>
    <w:rsid w:val="00700FF5"/>
    <w:rsid w:val="00706EE6"/>
    <w:rsid w:val="00712B3F"/>
    <w:rsid w:val="00722632"/>
    <w:rsid w:val="00740F7D"/>
    <w:rsid w:val="007554A7"/>
    <w:rsid w:val="0079209E"/>
    <w:rsid w:val="00794908"/>
    <w:rsid w:val="007A4C7E"/>
    <w:rsid w:val="007C1F8C"/>
    <w:rsid w:val="007C5690"/>
    <w:rsid w:val="007E2248"/>
    <w:rsid w:val="00806312"/>
    <w:rsid w:val="0082199B"/>
    <w:rsid w:val="00825E47"/>
    <w:rsid w:val="00876122"/>
    <w:rsid w:val="00877E66"/>
    <w:rsid w:val="008B2835"/>
    <w:rsid w:val="008C47F9"/>
    <w:rsid w:val="008D327A"/>
    <w:rsid w:val="008D560C"/>
    <w:rsid w:val="00914F08"/>
    <w:rsid w:val="00916E3E"/>
    <w:rsid w:val="00935E66"/>
    <w:rsid w:val="009538BE"/>
    <w:rsid w:val="00976D8C"/>
    <w:rsid w:val="009816C2"/>
    <w:rsid w:val="009926E7"/>
    <w:rsid w:val="009A0945"/>
    <w:rsid w:val="009C083A"/>
    <w:rsid w:val="009D112F"/>
    <w:rsid w:val="009D385D"/>
    <w:rsid w:val="009F4A1D"/>
    <w:rsid w:val="00A0402A"/>
    <w:rsid w:val="00A316EA"/>
    <w:rsid w:val="00A45C72"/>
    <w:rsid w:val="00A4644C"/>
    <w:rsid w:val="00A46F13"/>
    <w:rsid w:val="00A67571"/>
    <w:rsid w:val="00A730CA"/>
    <w:rsid w:val="00A77243"/>
    <w:rsid w:val="00A83646"/>
    <w:rsid w:val="00A8750E"/>
    <w:rsid w:val="00AB5197"/>
    <w:rsid w:val="00AB63B2"/>
    <w:rsid w:val="00B001BB"/>
    <w:rsid w:val="00B012FE"/>
    <w:rsid w:val="00B074C4"/>
    <w:rsid w:val="00B07E08"/>
    <w:rsid w:val="00B31CD2"/>
    <w:rsid w:val="00B3280A"/>
    <w:rsid w:val="00B32E88"/>
    <w:rsid w:val="00B33311"/>
    <w:rsid w:val="00B522E7"/>
    <w:rsid w:val="00B64CBE"/>
    <w:rsid w:val="00B7306B"/>
    <w:rsid w:val="00BB3BD2"/>
    <w:rsid w:val="00BD2EB0"/>
    <w:rsid w:val="00BF3843"/>
    <w:rsid w:val="00C10CCF"/>
    <w:rsid w:val="00C16E3D"/>
    <w:rsid w:val="00C26B7C"/>
    <w:rsid w:val="00C3275F"/>
    <w:rsid w:val="00C40DE0"/>
    <w:rsid w:val="00C44899"/>
    <w:rsid w:val="00C60BCA"/>
    <w:rsid w:val="00C76C9D"/>
    <w:rsid w:val="00C8126A"/>
    <w:rsid w:val="00CB4BB4"/>
    <w:rsid w:val="00CF5916"/>
    <w:rsid w:val="00D01441"/>
    <w:rsid w:val="00D07EB7"/>
    <w:rsid w:val="00D14C90"/>
    <w:rsid w:val="00D32200"/>
    <w:rsid w:val="00D344A8"/>
    <w:rsid w:val="00D432F4"/>
    <w:rsid w:val="00D575A2"/>
    <w:rsid w:val="00D82018"/>
    <w:rsid w:val="00D93FB7"/>
    <w:rsid w:val="00DD3ED7"/>
    <w:rsid w:val="00DE73F3"/>
    <w:rsid w:val="00DF47D8"/>
    <w:rsid w:val="00DF7DA0"/>
    <w:rsid w:val="00E074E9"/>
    <w:rsid w:val="00E246D4"/>
    <w:rsid w:val="00E448C9"/>
    <w:rsid w:val="00E47D4C"/>
    <w:rsid w:val="00E51598"/>
    <w:rsid w:val="00E85639"/>
    <w:rsid w:val="00E86ACB"/>
    <w:rsid w:val="00E915D7"/>
    <w:rsid w:val="00EB4E28"/>
    <w:rsid w:val="00EC0DCD"/>
    <w:rsid w:val="00ED6E66"/>
    <w:rsid w:val="00EE50E1"/>
    <w:rsid w:val="00EF22E0"/>
    <w:rsid w:val="00EF79F1"/>
    <w:rsid w:val="00F02541"/>
    <w:rsid w:val="00F0493F"/>
    <w:rsid w:val="00F0650D"/>
    <w:rsid w:val="00F14E72"/>
    <w:rsid w:val="00F15028"/>
    <w:rsid w:val="00F2594F"/>
    <w:rsid w:val="00F25C6D"/>
    <w:rsid w:val="00F34497"/>
    <w:rsid w:val="00F3660A"/>
    <w:rsid w:val="00F374FF"/>
    <w:rsid w:val="00F66F8A"/>
    <w:rsid w:val="00F92BF2"/>
    <w:rsid w:val="00F96D3B"/>
    <w:rsid w:val="00FA4D62"/>
    <w:rsid w:val="00FA7F32"/>
    <w:rsid w:val="00FB3E3B"/>
    <w:rsid w:val="00FB442F"/>
    <w:rsid w:val="00FD407B"/>
    <w:rsid w:val="00FE3ED6"/>
    <w:rsid w:val="00FE4D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3042">
      <w:bodyDiv w:val="1"/>
      <w:marLeft w:val="0"/>
      <w:marRight w:val="0"/>
      <w:marTop w:val="0"/>
      <w:marBottom w:val="0"/>
      <w:divBdr>
        <w:top w:val="none" w:sz="0" w:space="0" w:color="auto"/>
        <w:left w:val="none" w:sz="0" w:space="0" w:color="auto"/>
        <w:bottom w:val="none" w:sz="0" w:space="0" w:color="auto"/>
        <w:right w:val="none" w:sz="0" w:space="0" w:color="auto"/>
      </w:divBdr>
    </w:div>
    <w:div w:id="13724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1F15-E642-4556-9DDD-60CC57AD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1512</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Ionut TRINCA</cp:lastModifiedBy>
  <cp:revision>22</cp:revision>
  <cp:lastPrinted>2015-12-11T17:05:00Z</cp:lastPrinted>
  <dcterms:created xsi:type="dcterms:W3CDTF">2015-12-11T17:03:00Z</dcterms:created>
  <dcterms:modified xsi:type="dcterms:W3CDTF">2015-12-11T17:58:00Z</dcterms:modified>
</cp:coreProperties>
</file>