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CAE" w:rsidRDefault="00775CAE" w:rsidP="005216E5">
      <w:pPr>
        <w:pStyle w:val="Normal1"/>
        <w:spacing w:before="0" w:after="0"/>
        <w:rPr>
          <w:b/>
          <w:u w:val="single"/>
        </w:rPr>
      </w:pPr>
    </w:p>
    <w:p w:rsidR="005216E5" w:rsidRDefault="00FA7471" w:rsidP="005216E5">
      <w:pPr>
        <w:pStyle w:val="Normal1"/>
        <w:spacing w:before="0" w:after="0"/>
        <w:rPr>
          <w:b/>
          <w:u w:val="single"/>
        </w:rPr>
      </w:pPr>
      <w:r>
        <w:rPr>
          <w:b/>
          <w:u w:val="single"/>
        </w:rPr>
        <w:t xml:space="preserve">Descrierea indicatorilor – secțiunile 1.5 și 1.6 ale </w:t>
      </w:r>
      <w:r w:rsidRPr="00FA7471">
        <w:rPr>
          <w:b/>
          <w:u w:val="single"/>
        </w:rPr>
        <w:t>Ghidul</w:t>
      </w:r>
      <w:r>
        <w:rPr>
          <w:b/>
          <w:u w:val="single"/>
        </w:rPr>
        <w:t>ui</w:t>
      </w:r>
      <w:r w:rsidRPr="00FA7471">
        <w:rPr>
          <w:b/>
          <w:u w:val="single"/>
        </w:rPr>
        <w:t xml:space="preserve"> Solicitantului. Condiții specifice de accesare a fondurilor în cadrul apelului de proiecte ...........</w:t>
      </w:r>
    </w:p>
    <w:p w:rsidR="005216E5" w:rsidRDefault="005216E5" w:rsidP="005216E5">
      <w:pPr>
        <w:pStyle w:val="Normal1"/>
        <w:spacing w:before="0" w:after="0"/>
      </w:pPr>
    </w:p>
    <w:p w:rsidR="00FA7471" w:rsidRPr="00FA7471" w:rsidRDefault="00FA7471" w:rsidP="00FA7471">
      <w:pPr>
        <w:pStyle w:val="Normal1"/>
        <w:spacing w:before="0" w:after="0"/>
        <w:rPr>
          <w:b/>
        </w:rPr>
      </w:pPr>
      <w:r w:rsidRPr="00FA7471">
        <w:rPr>
          <w:b/>
        </w:rPr>
        <w:t>Indicatori prioritate de investiţii</w:t>
      </w:r>
    </w:p>
    <w:p w:rsidR="00FA7471" w:rsidRDefault="00FA7471" w:rsidP="00FA7471">
      <w:pPr>
        <w:pStyle w:val="Normal1"/>
        <w:spacing w:before="0" w:after="0"/>
      </w:pPr>
    </w:p>
    <w:p w:rsidR="00FA7471" w:rsidRDefault="00FA7471" w:rsidP="00FA7471">
      <w:pPr>
        <w:pStyle w:val="Normal1"/>
        <w:spacing w:before="0" w:after="0"/>
      </w:pPr>
      <w:r>
        <w:t>Indicatorii corespunzători priorității de investiție 3.1</w:t>
      </w:r>
      <w:r w:rsidR="005C494C">
        <w:t xml:space="preserve"> (doi indicatori de realizare comuni și unul specific)</w:t>
      </w:r>
      <w:r>
        <w:t xml:space="preserve"> au fost stabiliți prin POR 2014-2020 pentru a măsura realizarea obiectivului specific ”</w:t>
      </w:r>
      <w:r w:rsidRPr="00FA7471">
        <w:rPr>
          <w:i/>
        </w:rPr>
        <w:t>Creșterea eficienței energetice în clădirile rezidențiale, clădirile publice și sistemele de iluminat public, îndeosebi a celor care înregistrează consumuri energetice mari</w:t>
      </w:r>
      <w:r>
        <w:t>”. Aceștia constituie obiectul monitorizării performanțelor axei prioritare 3</w:t>
      </w:r>
      <w:r w:rsidR="00586189" w:rsidRPr="00586189">
        <w:t xml:space="preserve"> </w:t>
      </w:r>
      <w:r w:rsidR="00586189">
        <w:t>”</w:t>
      </w:r>
      <w:r w:rsidR="00586189" w:rsidRPr="00586189">
        <w:rPr>
          <w:i/>
        </w:rPr>
        <w:t>Sprijinirea tranziției către o economie cu emisii scăzute de carbon</w:t>
      </w:r>
      <w:r w:rsidR="00586189">
        <w:t>”</w:t>
      </w:r>
      <w:r>
        <w:t xml:space="preserve"> și a programului, în ansamblu</w:t>
      </w:r>
      <w:r w:rsidR="00586189">
        <w:t>.</w:t>
      </w:r>
    </w:p>
    <w:p w:rsidR="005C494C" w:rsidRDefault="005C494C" w:rsidP="00FA7471">
      <w:pPr>
        <w:pStyle w:val="Normal1"/>
        <w:spacing w:before="0" w:after="0"/>
      </w:pPr>
    </w:p>
    <w:p w:rsidR="00FA7471" w:rsidRDefault="005C494C" w:rsidP="00FA7471">
      <w:pPr>
        <w:pStyle w:val="Normal1"/>
        <w:spacing w:before="0" w:after="0"/>
      </w:pPr>
      <w:r>
        <w:t>Prin Anexa I la Regulamentul FEDR 1301/2013 au fost identificați indicatorii de realizare comuni, respectiv:</w:t>
      </w:r>
    </w:p>
    <w:p w:rsidR="00ED38F4" w:rsidRDefault="005C494C" w:rsidP="00ED38F4">
      <w:pPr>
        <w:pStyle w:val="Normal1"/>
        <w:numPr>
          <w:ilvl w:val="0"/>
          <w:numId w:val="12"/>
        </w:numPr>
        <w:spacing w:before="0" w:after="0"/>
      </w:pPr>
      <w:r>
        <w:t>CO31 ”Numărul gospodăriilor cu o clasificare mai bună a consumului de energie” (nr.)</w:t>
      </w:r>
      <w:r w:rsidR="00616961">
        <w:t>, ca fiind gospodăriile cu o clasificare mai bună a consumului de energie prin implementarea proiectului. Acest indicator se va cuantifica în baza certificatului de performanță energetică obținut de beneficiar după finalizarea proiectului de investiție.</w:t>
      </w:r>
      <w:r w:rsidR="00ED38F4" w:rsidRPr="00ED38F4">
        <w:t xml:space="preserve"> </w:t>
      </w:r>
    </w:p>
    <w:p w:rsidR="00ED38F4" w:rsidRDefault="00ED38F4" w:rsidP="00ED38F4">
      <w:pPr>
        <w:pStyle w:val="Normal1"/>
        <w:spacing w:before="0" w:after="0"/>
        <w:ind w:left="720"/>
      </w:pPr>
      <w:r>
        <w:t xml:space="preserve">Pentru calculul acestui indicator se va raporta </w:t>
      </w:r>
      <w:r w:rsidRPr="00ED38F4">
        <w:t>suprafaţa totală utilă a clădirii</w:t>
      </w:r>
      <w:r>
        <w:t xml:space="preserve"> </w:t>
      </w:r>
      <w:r w:rsidRPr="00ED38F4">
        <w:t>cu o clasificare mai bună a consumului de energie (m2)</w:t>
      </w:r>
      <w:r>
        <w:t xml:space="preserve"> la suprafața medie utilă de </w:t>
      </w:r>
      <w:r w:rsidRPr="00ED38F4">
        <w:t>47 m2</w:t>
      </w:r>
      <w:r>
        <w:t xml:space="preserve"> pentru o gospodărie (valoare medie estimată pentru un apartament de bloc construit în </w:t>
      </w:r>
      <w:r w:rsidRPr="00ED38F4">
        <w:t>baza unor proiecte elaborate în perioada 1950 – 1990</w:t>
      </w:r>
      <w:r>
        <w:t>).</w:t>
      </w:r>
    </w:p>
    <w:p w:rsidR="00012840" w:rsidRDefault="00012840" w:rsidP="00012840">
      <w:pPr>
        <w:pStyle w:val="Normal1"/>
        <w:spacing w:before="0" w:after="0"/>
        <w:ind w:left="720"/>
      </w:pPr>
    </w:p>
    <w:p w:rsidR="005C494C" w:rsidRDefault="005C494C" w:rsidP="00CB0F84">
      <w:pPr>
        <w:pStyle w:val="Normal1"/>
        <w:numPr>
          <w:ilvl w:val="0"/>
          <w:numId w:val="12"/>
        </w:numPr>
        <w:spacing w:before="0" w:after="0"/>
      </w:pPr>
      <w:r>
        <w:t>CO34 ”Scădere</w:t>
      </w:r>
      <w:r w:rsidR="00012840">
        <w:t>a</w:t>
      </w:r>
      <w:r>
        <w:t xml:space="preserve"> anuală</w:t>
      </w:r>
      <w:r w:rsidR="00012840">
        <w:t xml:space="preserve"> estimată</w:t>
      </w:r>
      <w:r>
        <w:t xml:space="preserve"> a gazelor cu efect de seră”</w:t>
      </w:r>
      <w:r w:rsidRPr="005C494C">
        <w:t xml:space="preserve"> </w:t>
      </w:r>
      <w:r>
        <w:t>(</w:t>
      </w:r>
      <w:r w:rsidR="00925C39">
        <w:t xml:space="preserve">echivalent </w:t>
      </w:r>
      <w:r>
        <w:t>tone de CO2)</w:t>
      </w:r>
      <w:r w:rsidR="00012840">
        <w:t xml:space="preserve">, </w:t>
      </w:r>
      <w:r w:rsidR="00925C39">
        <w:t>pentru investiții vizând</w:t>
      </w:r>
      <w:r w:rsidR="00012840">
        <w:t xml:space="preserve"> scăderea consumului de energie</w:t>
      </w:r>
      <w:r w:rsidR="00925C39">
        <w:t xml:space="preserve"> prin</w:t>
      </w:r>
      <w:r w:rsidR="00925C39" w:rsidRPr="00925C39">
        <w:t xml:space="preserve"> </w:t>
      </w:r>
      <w:r w:rsidR="00925C39">
        <w:t>măsuri de economisire a energiei</w:t>
      </w:r>
      <w:r w:rsidR="00012840">
        <w:t xml:space="preserve">, estimarea se bazează pe cantitatea de energie primară economisită într-un an </w:t>
      </w:r>
      <w:r w:rsidR="00925C39">
        <w:t xml:space="preserve">(fie </w:t>
      </w:r>
      <w:r w:rsidR="00CB0F84">
        <w:t xml:space="preserve">la un an de la finalizarea proiectului, fie </w:t>
      </w:r>
      <w:r w:rsidR="00925C39">
        <w:t xml:space="preserve">în anul </w:t>
      </w:r>
      <w:r w:rsidR="00CB0F84">
        <w:t xml:space="preserve">calendaristic </w:t>
      </w:r>
      <w:r w:rsidR="00925C39">
        <w:t>următor</w:t>
      </w:r>
      <w:r w:rsidR="00CB0F84" w:rsidRPr="00CB0F84">
        <w:t xml:space="preserve"> </w:t>
      </w:r>
      <w:r w:rsidR="00CB0F84">
        <w:t>finalizării</w:t>
      </w:r>
      <w:r w:rsidR="00CB0F84" w:rsidRPr="00CB0F84">
        <w:t xml:space="preserve"> proiectului</w:t>
      </w:r>
      <w:r w:rsidR="00CB0F84">
        <w:t>).</w:t>
      </w:r>
      <w:r w:rsidR="007A2FBA">
        <w:t xml:space="preserve"> Se prezumă că economia de energie înlocuiește producția de energie neregenerabilă.</w:t>
      </w:r>
    </w:p>
    <w:p w:rsidR="007A2FBA" w:rsidRDefault="007A2FBA" w:rsidP="007A2FBA">
      <w:pPr>
        <w:pStyle w:val="Normal1"/>
        <w:spacing w:before="0" w:after="0"/>
        <w:ind w:left="720"/>
      </w:pPr>
      <w:r>
        <w:t>Scăderea emisiilor de gaze</w:t>
      </w:r>
      <w:r w:rsidRPr="007A2FBA">
        <w:t xml:space="preserve"> cu efect de seră</w:t>
      </w:r>
      <w:r>
        <w:t xml:space="preserve"> se va calcula de către </w:t>
      </w:r>
      <w:r w:rsidR="00B06857">
        <w:t>auditorii energetici, prin indicele</w:t>
      </w:r>
      <w:r w:rsidR="00B06857" w:rsidRPr="00B06857">
        <w:t xml:space="preserve"> de emisii echivalent CO2 (kgCO2/m2/an)</w:t>
      </w:r>
      <w:r w:rsidR="00B06857">
        <w:t xml:space="preserve"> din certificatul</w:t>
      </w:r>
      <w:r w:rsidR="00B06857" w:rsidRPr="00B06857">
        <w:t xml:space="preserve"> de performanță energetică</w:t>
      </w:r>
      <w:r w:rsidR="00B06857">
        <w:t>.</w:t>
      </w:r>
    </w:p>
    <w:p w:rsidR="005C494C" w:rsidRDefault="005C494C" w:rsidP="00FA7471">
      <w:pPr>
        <w:pStyle w:val="Normal1"/>
        <w:spacing w:before="0" w:after="0"/>
      </w:pPr>
    </w:p>
    <w:p w:rsidR="005C494C" w:rsidRDefault="00E3755D" w:rsidP="006421DD">
      <w:pPr>
        <w:pStyle w:val="Normal1"/>
        <w:spacing w:before="0" w:after="0"/>
      </w:pPr>
      <w:r>
        <w:t>Pentru evidențierea atingerii obiectivului specific urmărit prin prioritatea</w:t>
      </w:r>
      <w:r w:rsidRPr="00E3755D">
        <w:t xml:space="preserve"> de investiție 3.1</w:t>
      </w:r>
      <w:r w:rsidR="006421DD">
        <w:t xml:space="preserve"> și având în vedere că indicatorii balanțelor energetice sunt elaborați și prezentați în sistemul energiei finale, sistem utilizat de statele membre UE, pentru realizarea unor comparații directe, fără calcule de echivalență, cu datele privind energia din statistica internațională,</w:t>
      </w:r>
      <w:r>
        <w:t xml:space="preserve"> AMPOR a stabilit și un indicator de rezultat specific programului:</w:t>
      </w:r>
    </w:p>
    <w:p w:rsidR="00FA7471" w:rsidRDefault="00E3755D" w:rsidP="009629AE">
      <w:pPr>
        <w:pStyle w:val="Normal1"/>
        <w:numPr>
          <w:ilvl w:val="0"/>
          <w:numId w:val="12"/>
        </w:numPr>
        <w:spacing w:before="0" w:after="0"/>
      </w:pPr>
      <w:r>
        <w:t>1S6 ”</w:t>
      </w:r>
      <w:r w:rsidR="00FA7471">
        <w:t>Consumul de energie finală în sectorul rezidenţial</w:t>
      </w:r>
      <w:r>
        <w:t>”</w:t>
      </w:r>
      <w:r w:rsidR="00FA7471">
        <w:t xml:space="preserve"> (Mtep)</w:t>
      </w:r>
      <w:r w:rsidR="009629AE">
        <w:t>.</w:t>
      </w:r>
      <w:r w:rsidRPr="00E3755D">
        <w:t xml:space="preserve"> Indicatorul cuprinde cantităţile de </w:t>
      </w:r>
      <w:r w:rsidR="009629AE">
        <w:t>e</w:t>
      </w:r>
      <w:r w:rsidRPr="00E3755D">
        <w:t>nergie primară şi transformată</w:t>
      </w:r>
      <w:r w:rsidR="009629AE">
        <w:t>,</w:t>
      </w:r>
      <w:r w:rsidRPr="00E3755D">
        <w:t xml:space="preserve"> </w:t>
      </w:r>
      <w:r w:rsidR="009629AE" w:rsidRPr="00E3755D">
        <w:t>în urma cărora nu mai are loc nicio prelucrare sau transformare energetică</w:t>
      </w:r>
      <w:r w:rsidR="009629AE">
        <w:t>,</w:t>
      </w:r>
      <w:r w:rsidR="009629AE" w:rsidRPr="00E3755D">
        <w:t xml:space="preserve"> </w:t>
      </w:r>
      <w:r w:rsidR="009629AE">
        <w:t xml:space="preserve">livrate efectiv și </w:t>
      </w:r>
      <w:r w:rsidR="009629AE" w:rsidRPr="00E3755D">
        <w:t>utilizate</w:t>
      </w:r>
      <w:r w:rsidR="009629AE">
        <w:t xml:space="preserve"> în instalaţiile consumatorilor</w:t>
      </w:r>
      <w:r w:rsidR="006421DD">
        <w:t>,</w:t>
      </w:r>
      <w:r w:rsidR="009629AE">
        <w:t xml:space="preserve"> exclusiv pentru consumul menajer.</w:t>
      </w:r>
      <w:r w:rsidR="009629AE" w:rsidRPr="009629AE">
        <w:t xml:space="preserve"> </w:t>
      </w:r>
      <w:r w:rsidR="009629AE">
        <w:t>Unitatea de m</w:t>
      </w:r>
      <w:r w:rsidR="0083003B">
        <w:t>ăsură utilizată</w:t>
      </w:r>
      <w:r w:rsidR="009629AE">
        <w:t xml:space="preserve"> este tona echivalent</w:t>
      </w:r>
      <w:r w:rsidR="0083003B">
        <w:t xml:space="preserve"> petrol. Aceasta reprezintă un combustibil convenț</w:t>
      </w:r>
      <w:r w:rsidR="009629AE">
        <w:t>ional</w:t>
      </w:r>
      <w:r w:rsidR="0083003B">
        <w:t xml:space="preserve"> cu puterea calorifică de 41868 kJ</w:t>
      </w:r>
      <w:r w:rsidR="009629AE">
        <w:t>/</w:t>
      </w:r>
      <w:r w:rsidR="0083003B">
        <w:t>kg (10000 kcal</w:t>
      </w:r>
      <w:r w:rsidR="009629AE">
        <w:t>/kg).</w:t>
      </w:r>
      <w:r w:rsidR="0083003B">
        <w:t xml:space="preserve"> </w:t>
      </w:r>
    </w:p>
    <w:p w:rsidR="0083003B" w:rsidRDefault="0083003B" w:rsidP="0083003B">
      <w:pPr>
        <w:pStyle w:val="Normal1"/>
        <w:spacing w:before="0" w:after="0"/>
        <w:ind w:left="720"/>
      </w:pPr>
      <w:r>
        <w:t xml:space="preserve">Pentru calcularea acestui indicator, în baza </w:t>
      </w:r>
      <w:r w:rsidRPr="0083003B">
        <w:t>certificatul</w:t>
      </w:r>
      <w:r>
        <w:t>ui</w:t>
      </w:r>
      <w:r w:rsidRPr="0083003B">
        <w:t xml:space="preserve"> de performanță energetică</w:t>
      </w:r>
      <w:r>
        <w:t>, se va utiliza consumul specific de energie pentru încălzire (kwh/m2)</w:t>
      </w:r>
      <w:r w:rsidR="006D7314">
        <w:t>.</w:t>
      </w:r>
    </w:p>
    <w:p w:rsidR="005C494C" w:rsidRPr="006D7314" w:rsidRDefault="005C494C" w:rsidP="00FA7471">
      <w:pPr>
        <w:pStyle w:val="Normal1"/>
        <w:spacing w:before="0" w:after="0"/>
        <w:rPr>
          <w:b/>
        </w:rPr>
      </w:pPr>
    </w:p>
    <w:p w:rsidR="00FA7471" w:rsidRPr="006D7314" w:rsidRDefault="006D7314" w:rsidP="00FA7471">
      <w:pPr>
        <w:pStyle w:val="Normal1"/>
        <w:spacing w:before="0" w:after="0"/>
        <w:rPr>
          <w:b/>
        </w:rPr>
      </w:pPr>
      <w:r w:rsidRPr="006D7314">
        <w:rPr>
          <w:b/>
        </w:rPr>
        <w:t>I</w:t>
      </w:r>
      <w:r w:rsidR="00FA7471" w:rsidRPr="006D7314">
        <w:rPr>
          <w:b/>
        </w:rPr>
        <w:t xml:space="preserve">ndicatori de proiect </w:t>
      </w:r>
    </w:p>
    <w:p w:rsidR="006D7314" w:rsidRDefault="006D7314" w:rsidP="00FA7471">
      <w:pPr>
        <w:pStyle w:val="Normal1"/>
        <w:spacing w:before="0" w:after="0"/>
      </w:pPr>
    </w:p>
    <w:p w:rsidR="005529A9" w:rsidRDefault="005529A9" w:rsidP="00FA7471">
      <w:pPr>
        <w:pStyle w:val="Normal1"/>
        <w:spacing w:before="0" w:after="0"/>
      </w:pPr>
      <w:r>
        <w:t xml:space="preserve">Pentru indicatorii </w:t>
      </w:r>
      <w:r w:rsidR="00FA7471">
        <w:t xml:space="preserve">de proiect </w:t>
      </w:r>
      <w:r>
        <w:t>stabiliți, respectiv consumul anual specific de energie pentru încălzire (kwh/m2/an),</w:t>
      </w:r>
      <w:r w:rsidRPr="005529A9">
        <w:t xml:space="preserve"> </w:t>
      </w:r>
      <w:r>
        <w:t>consumul anual specific de energie (kwh/m2/an),</w:t>
      </w:r>
      <w:r w:rsidRPr="005529A9">
        <w:t xml:space="preserve"> </w:t>
      </w:r>
      <w:r>
        <w:t xml:space="preserve">indicele de emisii echivalent CO2 (kgCO2/m2/an), suprafaţa totală utilă a clădirii (m2), numărul gospodăriilor  cu o clasificare mai </w:t>
      </w:r>
      <w:r>
        <w:lastRenderedPageBreak/>
        <w:t>bună a consumului de energie (nr.), informațiile vor fi furnizate de beneficiari în baza docume</w:t>
      </w:r>
      <w:r w:rsidR="00081BF9">
        <w:t>n</w:t>
      </w:r>
      <w:r>
        <w:t>tației tehnice aferentă proiectului de investiție finanțat.</w:t>
      </w:r>
    </w:p>
    <w:p w:rsidR="00081BF9" w:rsidRDefault="00081BF9" w:rsidP="00FA7471">
      <w:pPr>
        <w:pStyle w:val="Normal1"/>
        <w:spacing w:before="0" w:after="0"/>
      </w:pPr>
    </w:p>
    <w:p w:rsidR="005529A9" w:rsidRPr="00081BF9" w:rsidRDefault="00081BF9" w:rsidP="00FA7471">
      <w:pPr>
        <w:pStyle w:val="Normal1"/>
        <w:spacing w:before="0" w:after="0"/>
      </w:pPr>
      <w:r>
        <w:t xml:space="preserve">Pentru indicatorul </w:t>
      </w:r>
      <w:r w:rsidRPr="00081BF9">
        <w:rPr>
          <w:rStyle w:val="hps"/>
          <w:i/>
        </w:rPr>
        <w:t>Consumul total anual de energie primară (kwh/an</w:t>
      </w:r>
      <w:r w:rsidRPr="00081BF9">
        <w:rPr>
          <w:rStyle w:val="hps"/>
          <w:i/>
        </w:rPr>
        <w:t>)</w:t>
      </w:r>
      <w:r>
        <w:rPr>
          <w:rStyle w:val="hps"/>
          <w:i/>
        </w:rPr>
        <w:t xml:space="preserve"> </w:t>
      </w:r>
      <w:r>
        <w:rPr>
          <w:rStyle w:val="hps"/>
        </w:rPr>
        <w:t xml:space="preserve">se va utiliza </w:t>
      </w:r>
      <w:r w:rsidRPr="00081BF9">
        <w:rPr>
          <w:rStyle w:val="hps"/>
        </w:rPr>
        <w:t>Met</w:t>
      </w:r>
      <w:r>
        <w:rPr>
          <w:rStyle w:val="hps"/>
        </w:rPr>
        <w:t>odologia de calcul al performanț</w:t>
      </w:r>
      <w:r w:rsidRPr="00081BF9">
        <w:rPr>
          <w:rStyle w:val="hps"/>
        </w:rPr>
        <w:t>ei energetice a cladirilor</w:t>
      </w:r>
      <w:r>
        <w:rPr>
          <w:rStyle w:val="hps"/>
        </w:rPr>
        <w:t xml:space="preserve">, aprobată prin </w:t>
      </w:r>
      <w:r w:rsidRPr="00081BF9">
        <w:rPr>
          <w:rStyle w:val="hps"/>
        </w:rPr>
        <w:t>Ordinul ministrului transporturilor, construc</w:t>
      </w:r>
      <w:r>
        <w:rPr>
          <w:rStyle w:val="hps"/>
        </w:rPr>
        <w:t>ț</w:t>
      </w:r>
      <w:r w:rsidRPr="00081BF9">
        <w:rPr>
          <w:rStyle w:val="hps"/>
        </w:rPr>
        <w:t>i</w:t>
      </w:r>
      <w:r>
        <w:rPr>
          <w:rStyle w:val="hps"/>
        </w:rPr>
        <w:t>ilor ș</w:t>
      </w:r>
      <w:bookmarkStart w:id="0" w:name="_GoBack"/>
      <w:bookmarkEnd w:id="0"/>
      <w:r>
        <w:rPr>
          <w:rStyle w:val="hps"/>
        </w:rPr>
        <w:t>i turismului nr. 157/2007, cu modificările și completările ulterioare.</w:t>
      </w:r>
    </w:p>
    <w:p w:rsidR="00081BF9" w:rsidRDefault="00081BF9" w:rsidP="00FA7471">
      <w:pPr>
        <w:pStyle w:val="Normal1"/>
        <w:spacing w:before="0" w:after="0"/>
      </w:pPr>
    </w:p>
    <w:p w:rsidR="005529A9" w:rsidRDefault="005529A9" w:rsidP="00FA7471">
      <w:pPr>
        <w:pStyle w:val="Normal1"/>
        <w:spacing w:before="0" w:after="0"/>
      </w:pPr>
      <w:r w:rsidRPr="005529A9">
        <w:t>Nu se accepta identificarea și cuantificarea în cadrul cererii de finanțare a altor indicatori în afara celor menționați în cadrul  secțiunii 1.6 din prezentul Ghid.</w:t>
      </w:r>
    </w:p>
    <w:p w:rsidR="00FA7471" w:rsidRPr="005216E5" w:rsidRDefault="00FA7471" w:rsidP="00FA7471">
      <w:pPr>
        <w:pStyle w:val="Normal1"/>
        <w:spacing w:before="0" w:after="0"/>
      </w:pPr>
      <w:r>
        <w:tab/>
      </w:r>
    </w:p>
    <w:sectPr w:rsidR="00FA7471" w:rsidRPr="005216E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288" w:rsidRDefault="00C83288" w:rsidP="00995C14">
      <w:pPr>
        <w:spacing w:before="0" w:after="0"/>
      </w:pPr>
      <w:r>
        <w:separator/>
      </w:r>
    </w:p>
  </w:endnote>
  <w:endnote w:type="continuationSeparator" w:id="0">
    <w:p w:rsidR="00C83288" w:rsidRDefault="00C83288" w:rsidP="00995C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288" w:rsidRDefault="00C83288" w:rsidP="00995C14">
      <w:pPr>
        <w:spacing w:before="0" w:after="0"/>
      </w:pPr>
      <w:r>
        <w:separator/>
      </w:r>
    </w:p>
  </w:footnote>
  <w:footnote w:type="continuationSeparator" w:id="0">
    <w:p w:rsidR="00C83288" w:rsidRDefault="00C83288" w:rsidP="00995C1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089" w:rsidRPr="00D3096F" w:rsidRDefault="00283089" w:rsidP="00283089">
    <w:pPr>
      <w:pStyle w:val="Header"/>
      <w:jc w:val="both"/>
      <w:rPr>
        <w:rFonts w:cs="Arial"/>
        <w:b/>
        <w:color w:val="333333"/>
        <w:sz w:val="16"/>
        <w:szCs w:val="16"/>
      </w:rPr>
    </w:pPr>
    <w:r w:rsidRPr="00D3096F">
      <w:rPr>
        <w:rFonts w:cs="Arial"/>
        <w:b/>
        <w:color w:val="333333"/>
        <w:sz w:val="16"/>
        <w:szCs w:val="16"/>
      </w:rPr>
      <w:t xml:space="preserve">Programul </w:t>
    </w:r>
    <w:r>
      <w:rPr>
        <w:rFonts w:cs="Arial"/>
        <w:b/>
        <w:color w:val="333333"/>
        <w:sz w:val="16"/>
        <w:szCs w:val="16"/>
      </w:rPr>
      <w:t>Operaţional Regional 2014-2020</w:t>
    </w:r>
  </w:p>
  <w:p w:rsidR="00283089" w:rsidRPr="00790F00" w:rsidRDefault="00283089" w:rsidP="00283089">
    <w:pPr>
      <w:pStyle w:val="Header"/>
      <w:jc w:val="both"/>
      <w:rPr>
        <w:rFonts w:cs="Arial"/>
        <w:b/>
        <w:bCs/>
        <w:color w:val="333333"/>
        <w:sz w:val="16"/>
        <w:szCs w:val="16"/>
      </w:rPr>
    </w:pPr>
    <w:bookmarkStart w:id="1" w:name="_Toc424303571"/>
    <w:r w:rsidRPr="00790F00">
      <w:rPr>
        <w:rFonts w:cs="Arial"/>
        <w:b/>
        <w:bCs/>
        <w:color w:val="333333"/>
        <w:sz w:val="16"/>
        <w:szCs w:val="16"/>
      </w:rPr>
      <w:t xml:space="preserve">Axa prioritară 3: </w:t>
    </w:r>
    <w:r w:rsidRPr="00790F00">
      <w:rPr>
        <w:rFonts w:cs="Arial"/>
        <w:b/>
        <w:color w:val="333333"/>
        <w:sz w:val="16"/>
        <w:szCs w:val="16"/>
      </w:rPr>
      <w:t>Sprijinirea  tranziției către o economie cu emisii scăzute de carbon</w:t>
    </w:r>
    <w:bookmarkEnd w:id="1"/>
  </w:p>
  <w:p w:rsidR="00283089" w:rsidRDefault="00283089" w:rsidP="00283089">
    <w:pPr>
      <w:pStyle w:val="Header"/>
      <w:ind w:right="4365"/>
      <w:jc w:val="both"/>
      <w:rPr>
        <w:rFonts w:cs="Arial"/>
        <w:color w:val="333333"/>
        <w:sz w:val="16"/>
        <w:szCs w:val="16"/>
      </w:rPr>
    </w:pPr>
    <w:r w:rsidRPr="00D3096F">
      <w:rPr>
        <w:rFonts w:cs="Arial"/>
        <w:color w:val="333333"/>
        <w:sz w:val="16"/>
        <w:szCs w:val="16"/>
      </w:rPr>
      <w:t>Prioritatea de investiții 3.1 - Sprijinirea eficienței energetice, a gestionării inteligente a energiei și a utilizării energiei din surse regenerabile în infrastructurile publice, inclusiv în clădirile publice, și în sectorul locuințelor</w:t>
    </w:r>
  </w:p>
  <w:p w:rsidR="00283089" w:rsidRDefault="00283089" w:rsidP="00283089">
    <w:pPr>
      <w:pStyle w:val="Header"/>
      <w:jc w:val="both"/>
      <w:rPr>
        <w:rFonts w:cs="Arial"/>
        <w:b/>
        <w:color w:val="333333"/>
        <w:sz w:val="16"/>
        <w:szCs w:val="16"/>
      </w:rPr>
    </w:pPr>
    <w:r w:rsidRPr="00D3096F">
      <w:rPr>
        <w:rFonts w:cs="Arial"/>
        <w:b/>
        <w:color w:val="333333"/>
        <w:sz w:val="16"/>
        <w:szCs w:val="16"/>
      </w:rPr>
      <w:t>Operaţiunea A - Clădiri rezidenţiale</w:t>
    </w:r>
  </w:p>
  <w:p w:rsidR="00283089" w:rsidRDefault="00283089" w:rsidP="00283089">
    <w:pPr>
      <w:pStyle w:val="Header"/>
      <w:jc w:val="both"/>
      <w:rPr>
        <w:rFonts w:cs="Arial"/>
        <w:b/>
        <w:color w:val="333333"/>
        <w:sz w:val="16"/>
        <w:szCs w:val="16"/>
      </w:rPr>
    </w:pPr>
  </w:p>
  <w:p w:rsidR="00283089" w:rsidRPr="00283089" w:rsidRDefault="00283089" w:rsidP="00283089">
    <w:pPr>
      <w:pStyle w:val="Header"/>
      <w:jc w:val="right"/>
      <w:rPr>
        <w:rFonts w:cs="Arial"/>
        <w:color w:val="333333"/>
        <w:sz w:val="14"/>
      </w:rPr>
    </w:pPr>
    <w:r>
      <w:rPr>
        <w:rFonts w:cs="Arial"/>
        <w:b/>
        <w:bCs/>
        <w:color w:val="333333"/>
        <w:sz w:val="14"/>
      </w:rPr>
      <w:t>Ghidul Solicitantului. Condiții specifice de accesare a fondurilor în cadrul apelului de proiecte ...........</w:t>
    </w:r>
  </w:p>
  <w:p w:rsidR="00995C14" w:rsidRPr="00283089" w:rsidRDefault="00BF7129" w:rsidP="00995C14">
    <w:pPr>
      <w:pStyle w:val="Normal1"/>
      <w:spacing w:before="0" w:after="0"/>
      <w:jc w:val="right"/>
      <w:rPr>
        <w:rFonts w:cs="Arial"/>
        <w:b/>
        <w:bCs/>
        <w:color w:val="333333"/>
        <w:sz w:val="14"/>
      </w:rPr>
    </w:pPr>
    <w:r>
      <w:rPr>
        <w:rFonts w:cs="Arial"/>
        <w:b/>
        <w:bCs/>
        <w:color w:val="333333"/>
        <w:sz w:val="14"/>
      </w:rPr>
      <w:t>Anexa 3.1.A.</w:t>
    </w:r>
    <w:r w:rsidR="00FA7471">
      <w:rPr>
        <w:rFonts w:cs="Arial"/>
        <w:b/>
        <w:bCs/>
        <w:color w:val="333333"/>
        <w:sz w:val="14"/>
      </w:rPr>
      <w:t>8</w:t>
    </w:r>
  </w:p>
  <w:p w:rsidR="00995C14" w:rsidRDefault="00995C14" w:rsidP="00995C1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B2177"/>
    <w:multiLevelType w:val="hybridMultilevel"/>
    <w:tmpl w:val="F9388AD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AB0D40"/>
    <w:multiLevelType w:val="hybridMultilevel"/>
    <w:tmpl w:val="FBB4F1DC"/>
    <w:lvl w:ilvl="0" w:tplc="AE64B1F4">
      <w:start w:val="1"/>
      <w:numFmt w:val="bullet"/>
      <w:lvlText w:val="−"/>
      <w:lvlJc w:val="left"/>
      <w:pPr>
        <w:ind w:left="360" w:hanging="360"/>
      </w:pPr>
      <w:rPr>
        <w:rFonts w:ascii="Calibri" w:hAnsi="Calibri"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29D33498"/>
    <w:multiLevelType w:val="hybridMultilevel"/>
    <w:tmpl w:val="B68EED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0CA711C"/>
    <w:multiLevelType w:val="hybridMultilevel"/>
    <w:tmpl w:val="20CA28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33B735CA"/>
    <w:multiLevelType w:val="hybridMultilevel"/>
    <w:tmpl w:val="B6C2BC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7D94B2E"/>
    <w:multiLevelType w:val="hybridMultilevel"/>
    <w:tmpl w:val="E8A80130"/>
    <w:lvl w:ilvl="0" w:tplc="04180001">
      <w:start w:val="1"/>
      <w:numFmt w:val="bullet"/>
      <w:lvlText w:val=""/>
      <w:lvlJc w:val="left"/>
      <w:pPr>
        <w:ind w:left="1068" w:hanging="360"/>
      </w:pPr>
      <w:rPr>
        <w:rFonts w:ascii="Symbol" w:hAnsi="Symbol" w:hint="default"/>
      </w:rPr>
    </w:lvl>
    <w:lvl w:ilvl="1" w:tplc="04180003">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6">
    <w:nsid w:val="4A210B25"/>
    <w:multiLevelType w:val="hybridMultilevel"/>
    <w:tmpl w:val="84E0007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4E7C3CE6"/>
    <w:multiLevelType w:val="hybridMultilevel"/>
    <w:tmpl w:val="DE46B428"/>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nsid w:val="57244EC2"/>
    <w:multiLevelType w:val="hybridMultilevel"/>
    <w:tmpl w:val="AB0C949C"/>
    <w:lvl w:ilvl="0" w:tplc="8D20A294">
      <w:numFmt w:val="bullet"/>
      <w:lvlText w:val="-"/>
      <w:lvlJc w:val="left"/>
      <w:pPr>
        <w:ind w:left="1068" w:hanging="360"/>
      </w:pPr>
      <w:rPr>
        <w:rFonts w:ascii="Trebuchet MS" w:eastAsia="Times New Roman" w:hAnsi="Trebuchet MS" w:cs="Times New Roman" w:hint="default"/>
      </w:rPr>
    </w:lvl>
    <w:lvl w:ilvl="1" w:tplc="04180003">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9">
    <w:nsid w:val="58C9575C"/>
    <w:multiLevelType w:val="hybridMultilevel"/>
    <w:tmpl w:val="1A8A7D9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62AD41AD"/>
    <w:multiLevelType w:val="hybridMultilevel"/>
    <w:tmpl w:val="88FA7C1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6822260D"/>
    <w:multiLevelType w:val="hybridMultilevel"/>
    <w:tmpl w:val="402683B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0"/>
  </w:num>
  <w:num w:numId="8">
    <w:abstractNumId w:val="10"/>
  </w:num>
  <w:num w:numId="9">
    <w:abstractNumId w:val="9"/>
  </w:num>
  <w:num w:numId="10">
    <w:abstractNumId w:val="5"/>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7E"/>
    <w:rsid w:val="00012840"/>
    <w:rsid w:val="00073274"/>
    <w:rsid w:val="00081BF9"/>
    <w:rsid w:val="000A232C"/>
    <w:rsid w:val="000C7B9F"/>
    <w:rsid w:val="000D1A39"/>
    <w:rsid w:val="000E01BF"/>
    <w:rsid w:val="00137D46"/>
    <w:rsid w:val="0017777A"/>
    <w:rsid w:val="001E6B37"/>
    <w:rsid w:val="0023630C"/>
    <w:rsid w:val="002773AC"/>
    <w:rsid w:val="002825FE"/>
    <w:rsid w:val="00283089"/>
    <w:rsid w:val="003A6029"/>
    <w:rsid w:val="003E110E"/>
    <w:rsid w:val="003F1358"/>
    <w:rsid w:val="004103E1"/>
    <w:rsid w:val="00515E5E"/>
    <w:rsid w:val="005216E5"/>
    <w:rsid w:val="005529A9"/>
    <w:rsid w:val="00557611"/>
    <w:rsid w:val="00572903"/>
    <w:rsid w:val="00586189"/>
    <w:rsid w:val="005C494C"/>
    <w:rsid w:val="00616961"/>
    <w:rsid w:val="00636332"/>
    <w:rsid w:val="006421DD"/>
    <w:rsid w:val="006B3A71"/>
    <w:rsid w:val="006D7314"/>
    <w:rsid w:val="006F7658"/>
    <w:rsid w:val="00701F7C"/>
    <w:rsid w:val="007345D3"/>
    <w:rsid w:val="007752AD"/>
    <w:rsid w:val="00775CAE"/>
    <w:rsid w:val="0079185A"/>
    <w:rsid w:val="007A2FBA"/>
    <w:rsid w:val="007B3991"/>
    <w:rsid w:val="0083003B"/>
    <w:rsid w:val="009236D0"/>
    <w:rsid w:val="00925C39"/>
    <w:rsid w:val="009629AE"/>
    <w:rsid w:val="00995C14"/>
    <w:rsid w:val="00A95D00"/>
    <w:rsid w:val="00AB4569"/>
    <w:rsid w:val="00B06857"/>
    <w:rsid w:val="00B343A8"/>
    <w:rsid w:val="00B526CD"/>
    <w:rsid w:val="00B5668D"/>
    <w:rsid w:val="00B96007"/>
    <w:rsid w:val="00BE3680"/>
    <w:rsid w:val="00BF7129"/>
    <w:rsid w:val="00C22556"/>
    <w:rsid w:val="00C42F9A"/>
    <w:rsid w:val="00C83288"/>
    <w:rsid w:val="00CB0F84"/>
    <w:rsid w:val="00CB3F83"/>
    <w:rsid w:val="00D15CD5"/>
    <w:rsid w:val="00DA4F2A"/>
    <w:rsid w:val="00E01EC2"/>
    <w:rsid w:val="00E3755D"/>
    <w:rsid w:val="00E532F9"/>
    <w:rsid w:val="00E66A7E"/>
    <w:rsid w:val="00ED38F4"/>
    <w:rsid w:val="00F51F6D"/>
    <w:rsid w:val="00F62E16"/>
    <w:rsid w:val="00F9746F"/>
    <w:rsid w:val="00FA3974"/>
    <w:rsid w:val="00FA7471"/>
    <w:rsid w:val="00FB05B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6E5"/>
    <w:pPr>
      <w:spacing w:before="120" w:after="120" w:line="240" w:lineRule="auto"/>
    </w:pPr>
    <w:rPr>
      <w:rFonts w:ascii="Trebuchet MS" w:eastAsia="Times New Roman" w:hAnsi="Trebuchet M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5216E5"/>
    <w:pPr>
      <w:spacing w:before="60" w:after="60"/>
      <w:jc w:val="both"/>
    </w:pPr>
  </w:style>
  <w:style w:type="paragraph" w:styleId="BodyTextIndent">
    <w:name w:val="Body Text Indent"/>
    <w:basedOn w:val="Normal"/>
    <w:link w:val="BodyTextIndentChar"/>
    <w:rsid w:val="009236D0"/>
    <w:pPr>
      <w:spacing w:before="0" w:after="0"/>
      <w:ind w:left="720" w:hanging="360"/>
      <w:jc w:val="both"/>
    </w:pPr>
    <w:rPr>
      <w:rFonts w:ascii="Times New Roman" w:hAnsi="Times New Roman"/>
      <w:sz w:val="24"/>
      <w:szCs w:val="20"/>
    </w:rPr>
  </w:style>
  <w:style w:type="character" w:customStyle="1" w:styleId="BodyTextIndentChar">
    <w:name w:val="Body Text Indent Char"/>
    <w:basedOn w:val="DefaultParagraphFont"/>
    <w:link w:val="BodyTextIndent"/>
    <w:rsid w:val="009236D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A602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029"/>
    <w:rPr>
      <w:rFonts w:ascii="Segoe UI" w:eastAsia="Times New Roman" w:hAnsi="Segoe UI" w:cs="Segoe UI"/>
      <w:sz w:val="18"/>
      <w:szCs w:val="18"/>
    </w:rPr>
  </w:style>
  <w:style w:type="paragraph" w:styleId="Header">
    <w:name w:val="header"/>
    <w:basedOn w:val="Normal"/>
    <w:link w:val="HeaderChar"/>
    <w:unhideWhenUsed/>
    <w:rsid w:val="00995C14"/>
    <w:pPr>
      <w:tabs>
        <w:tab w:val="center" w:pos="4536"/>
        <w:tab w:val="right" w:pos="9072"/>
      </w:tabs>
      <w:spacing w:before="0" w:after="0"/>
    </w:pPr>
  </w:style>
  <w:style w:type="character" w:customStyle="1" w:styleId="HeaderChar">
    <w:name w:val="Header Char"/>
    <w:basedOn w:val="DefaultParagraphFont"/>
    <w:link w:val="Header"/>
    <w:rsid w:val="00995C14"/>
    <w:rPr>
      <w:rFonts w:ascii="Trebuchet MS" w:eastAsia="Times New Roman" w:hAnsi="Trebuchet MS" w:cs="Times New Roman"/>
      <w:sz w:val="20"/>
      <w:szCs w:val="24"/>
    </w:rPr>
  </w:style>
  <w:style w:type="paragraph" w:styleId="Footer">
    <w:name w:val="footer"/>
    <w:basedOn w:val="Normal"/>
    <w:link w:val="FooterChar"/>
    <w:uiPriority w:val="99"/>
    <w:unhideWhenUsed/>
    <w:rsid w:val="00995C14"/>
    <w:pPr>
      <w:tabs>
        <w:tab w:val="center" w:pos="4536"/>
        <w:tab w:val="right" w:pos="9072"/>
      </w:tabs>
      <w:spacing w:before="0" w:after="0"/>
    </w:pPr>
  </w:style>
  <w:style w:type="character" w:customStyle="1" w:styleId="FooterChar">
    <w:name w:val="Footer Char"/>
    <w:basedOn w:val="DefaultParagraphFont"/>
    <w:link w:val="Footer"/>
    <w:uiPriority w:val="99"/>
    <w:rsid w:val="00995C14"/>
    <w:rPr>
      <w:rFonts w:ascii="Trebuchet MS" w:eastAsia="Times New Roman" w:hAnsi="Trebuchet MS" w:cs="Times New Roman"/>
      <w:sz w:val="20"/>
      <w:szCs w:val="24"/>
    </w:rPr>
  </w:style>
  <w:style w:type="paragraph" w:styleId="FootnoteText">
    <w:name w:val="footnote text"/>
    <w:basedOn w:val="Normal"/>
    <w:link w:val="FootnoteTextChar"/>
    <w:uiPriority w:val="99"/>
    <w:semiHidden/>
    <w:unhideWhenUsed/>
    <w:rsid w:val="00F62E16"/>
    <w:pPr>
      <w:spacing w:before="0" w:after="0"/>
    </w:pPr>
    <w:rPr>
      <w:szCs w:val="20"/>
    </w:rPr>
  </w:style>
  <w:style w:type="character" w:customStyle="1" w:styleId="FootnoteTextChar">
    <w:name w:val="Footnote Text Char"/>
    <w:basedOn w:val="DefaultParagraphFont"/>
    <w:link w:val="FootnoteText"/>
    <w:uiPriority w:val="99"/>
    <w:semiHidden/>
    <w:rsid w:val="00F62E16"/>
    <w:rPr>
      <w:rFonts w:ascii="Trebuchet MS" w:eastAsia="Times New Roman" w:hAnsi="Trebuchet MS" w:cs="Times New Roman"/>
      <w:sz w:val="20"/>
      <w:szCs w:val="20"/>
    </w:rPr>
  </w:style>
  <w:style w:type="character" w:styleId="FootnoteReference">
    <w:name w:val="footnote reference"/>
    <w:basedOn w:val="DefaultParagraphFont"/>
    <w:uiPriority w:val="99"/>
    <w:semiHidden/>
    <w:unhideWhenUsed/>
    <w:rsid w:val="00F62E16"/>
    <w:rPr>
      <w:vertAlign w:val="superscript"/>
    </w:rPr>
  </w:style>
  <w:style w:type="paragraph" w:styleId="ListParagraph">
    <w:name w:val="List Paragraph"/>
    <w:basedOn w:val="Normal"/>
    <w:uiPriority w:val="34"/>
    <w:qFormat/>
    <w:rsid w:val="000A232C"/>
    <w:pPr>
      <w:ind w:left="720"/>
      <w:contextualSpacing/>
    </w:pPr>
  </w:style>
  <w:style w:type="character" w:customStyle="1" w:styleId="hps">
    <w:name w:val="hps"/>
    <w:rsid w:val="00081B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6E5"/>
    <w:pPr>
      <w:spacing w:before="120" w:after="120" w:line="240" w:lineRule="auto"/>
    </w:pPr>
    <w:rPr>
      <w:rFonts w:ascii="Trebuchet MS" w:eastAsia="Times New Roman" w:hAnsi="Trebuchet M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5216E5"/>
    <w:pPr>
      <w:spacing w:before="60" w:after="60"/>
      <w:jc w:val="both"/>
    </w:pPr>
  </w:style>
  <w:style w:type="paragraph" w:styleId="BodyTextIndent">
    <w:name w:val="Body Text Indent"/>
    <w:basedOn w:val="Normal"/>
    <w:link w:val="BodyTextIndentChar"/>
    <w:rsid w:val="009236D0"/>
    <w:pPr>
      <w:spacing w:before="0" w:after="0"/>
      <w:ind w:left="720" w:hanging="360"/>
      <w:jc w:val="both"/>
    </w:pPr>
    <w:rPr>
      <w:rFonts w:ascii="Times New Roman" w:hAnsi="Times New Roman"/>
      <w:sz w:val="24"/>
      <w:szCs w:val="20"/>
    </w:rPr>
  </w:style>
  <w:style w:type="character" w:customStyle="1" w:styleId="BodyTextIndentChar">
    <w:name w:val="Body Text Indent Char"/>
    <w:basedOn w:val="DefaultParagraphFont"/>
    <w:link w:val="BodyTextIndent"/>
    <w:rsid w:val="009236D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A602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029"/>
    <w:rPr>
      <w:rFonts w:ascii="Segoe UI" w:eastAsia="Times New Roman" w:hAnsi="Segoe UI" w:cs="Segoe UI"/>
      <w:sz w:val="18"/>
      <w:szCs w:val="18"/>
    </w:rPr>
  </w:style>
  <w:style w:type="paragraph" w:styleId="Header">
    <w:name w:val="header"/>
    <w:basedOn w:val="Normal"/>
    <w:link w:val="HeaderChar"/>
    <w:unhideWhenUsed/>
    <w:rsid w:val="00995C14"/>
    <w:pPr>
      <w:tabs>
        <w:tab w:val="center" w:pos="4536"/>
        <w:tab w:val="right" w:pos="9072"/>
      </w:tabs>
      <w:spacing w:before="0" w:after="0"/>
    </w:pPr>
  </w:style>
  <w:style w:type="character" w:customStyle="1" w:styleId="HeaderChar">
    <w:name w:val="Header Char"/>
    <w:basedOn w:val="DefaultParagraphFont"/>
    <w:link w:val="Header"/>
    <w:rsid w:val="00995C14"/>
    <w:rPr>
      <w:rFonts w:ascii="Trebuchet MS" w:eastAsia="Times New Roman" w:hAnsi="Trebuchet MS" w:cs="Times New Roman"/>
      <w:sz w:val="20"/>
      <w:szCs w:val="24"/>
    </w:rPr>
  </w:style>
  <w:style w:type="paragraph" w:styleId="Footer">
    <w:name w:val="footer"/>
    <w:basedOn w:val="Normal"/>
    <w:link w:val="FooterChar"/>
    <w:uiPriority w:val="99"/>
    <w:unhideWhenUsed/>
    <w:rsid w:val="00995C14"/>
    <w:pPr>
      <w:tabs>
        <w:tab w:val="center" w:pos="4536"/>
        <w:tab w:val="right" w:pos="9072"/>
      </w:tabs>
      <w:spacing w:before="0" w:after="0"/>
    </w:pPr>
  </w:style>
  <w:style w:type="character" w:customStyle="1" w:styleId="FooterChar">
    <w:name w:val="Footer Char"/>
    <w:basedOn w:val="DefaultParagraphFont"/>
    <w:link w:val="Footer"/>
    <w:uiPriority w:val="99"/>
    <w:rsid w:val="00995C14"/>
    <w:rPr>
      <w:rFonts w:ascii="Trebuchet MS" w:eastAsia="Times New Roman" w:hAnsi="Trebuchet MS" w:cs="Times New Roman"/>
      <w:sz w:val="20"/>
      <w:szCs w:val="24"/>
    </w:rPr>
  </w:style>
  <w:style w:type="paragraph" w:styleId="FootnoteText">
    <w:name w:val="footnote text"/>
    <w:basedOn w:val="Normal"/>
    <w:link w:val="FootnoteTextChar"/>
    <w:uiPriority w:val="99"/>
    <w:semiHidden/>
    <w:unhideWhenUsed/>
    <w:rsid w:val="00F62E16"/>
    <w:pPr>
      <w:spacing w:before="0" w:after="0"/>
    </w:pPr>
    <w:rPr>
      <w:szCs w:val="20"/>
    </w:rPr>
  </w:style>
  <w:style w:type="character" w:customStyle="1" w:styleId="FootnoteTextChar">
    <w:name w:val="Footnote Text Char"/>
    <w:basedOn w:val="DefaultParagraphFont"/>
    <w:link w:val="FootnoteText"/>
    <w:uiPriority w:val="99"/>
    <w:semiHidden/>
    <w:rsid w:val="00F62E16"/>
    <w:rPr>
      <w:rFonts w:ascii="Trebuchet MS" w:eastAsia="Times New Roman" w:hAnsi="Trebuchet MS" w:cs="Times New Roman"/>
      <w:sz w:val="20"/>
      <w:szCs w:val="20"/>
    </w:rPr>
  </w:style>
  <w:style w:type="character" w:styleId="FootnoteReference">
    <w:name w:val="footnote reference"/>
    <w:basedOn w:val="DefaultParagraphFont"/>
    <w:uiPriority w:val="99"/>
    <w:semiHidden/>
    <w:unhideWhenUsed/>
    <w:rsid w:val="00F62E16"/>
    <w:rPr>
      <w:vertAlign w:val="superscript"/>
    </w:rPr>
  </w:style>
  <w:style w:type="paragraph" w:styleId="ListParagraph">
    <w:name w:val="List Paragraph"/>
    <w:basedOn w:val="Normal"/>
    <w:uiPriority w:val="34"/>
    <w:qFormat/>
    <w:rsid w:val="000A232C"/>
    <w:pPr>
      <w:ind w:left="720"/>
      <w:contextualSpacing/>
    </w:pPr>
  </w:style>
  <w:style w:type="character" w:customStyle="1" w:styleId="hps">
    <w:name w:val="hps"/>
    <w:rsid w:val="00081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52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1DA02-CB10-467A-B036-77B67EB21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 Varzaru</dc:creator>
  <cp:lastModifiedBy>Alina Stoica</cp:lastModifiedBy>
  <cp:revision>3</cp:revision>
  <cp:lastPrinted>2015-08-07T12:51:00Z</cp:lastPrinted>
  <dcterms:created xsi:type="dcterms:W3CDTF">2015-08-07T13:21:00Z</dcterms:created>
  <dcterms:modified xsi:type="dcterms:W3CDTF">2015-08-13T10:19:00Z</dcterms:modified>
</cp:coreProperties>
</file>