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41" w:rsidRPr="00AB5197" w:rsidRDefault="00D01441" w:rsidP="009A0945">
      <w:pPr>
        <w:tabs>
          <w:tab w:val="left" w:pos="3481"/>
        </w:tabs>
        <w:jc w:val="both"/>
        <w:rPr>
          <w:rFonts w:ascii="Trebuchet MS" w:hAnsi="Trebuchet MS"/>
          <w:noProof/>
          <w:sz w:val="20"/>
          <w:szCs w:val="20"/>
          <w:lang w:eastAsia="ro-RO"/>
        </w:rPr>
      </w:pPr>
    </w:p>
    <w:p w:rsidR="00A8750E" w:rsidRDefault="00170F31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caps/>
          <w:sz w:val="20"/>
          <w:szCs w:val="20"/>
        </w:rPr>
        <w:t xml:space="preserve">CONȚINUT CADRU PLAN DE MOBILITATE URBANĂ DURABILĂ </w:t>
      </w:r>
    </w:p>
    <w:p w:rsidR="00531A34" w:rsidRDefault="00531A34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170F31" w:rsidRPr="00170F31" w:rsidRDefault="00170F31" w:rsidP="00170F31">
      <w:pPr>
        <w:jc w:val="both"/>
        <w:rPr>
          <w:rFonts w:ascii="Trebuchet MS" w:hAnsi="Trebuchet MS"/>
          <w:i/>
          <w:noProof/>
          <w:sz w:val="20"/>
          <w:szCs w:val="20"/>
        </w:rPr>
      </w:pPr>
      <w:r w:rsidRPr="00170F31">
        <w:rPr>
          <w:rFonts w:ascii="Trebuchet MS" w:hAnsi="Trebuchet MS"/>
          <w:noProof/>
          <w:sz w:val="20"/>
          <w:szCs w:val="20"/>
        </w:rPr>
        <w:t xml:space="preserve">Potrivit proiectului de </w:t>
      </w:r>
      <w:r w:rsidRPr="00170F31">
        <w:rPr>
          <w:rFonts w:ascii="Trebuchet MS" w:hAnsi="Trebuchet MS"/>
          <w:i/>
          <w:noProof/>
          <w:sz w:val="20"/>
          <w:szCs w:val="20"/>
        </w:rPr>
        <w:t xml:space="preserve">Ordin privind Normele metodologice de aplicare a Legii nr.350/2001 privind amenajarea teritoriului şi urbanismul, cu modificările şi completările ulterioare, şi de elaborare şi actualizare a documentaţiilor de urbanism, </w:t>
      </w:r>
      <w:r w:rsidRPr="00170F31">
        <w:rPr>
          <w:rFonts w:ascii="Trebuchet MS" w:hAnsi="Trebuchet MS"/>
          <w:noProof/>
          <w:sz w:val="20"/>
          <w:szCs w:val="20"/>
        </w:rPr>
        <w:t xml:space="preserve">Conţinutul cadru al P.M.U. este: </w:t>
      </w:r>
    </w:p>
    <w:p w:rsidR="00170F31" w:rsidRPr="00170F31" w:rsidRDefault="00170F31" w:rsidP="00170F31">
      <w:pPr>
        <w:jc w:val="both"/>
        <w:rPr>
          <w:rFonts w:ascii="Trebuchet MS" w:hAnsi="Trebuchet MS"/>
          <w:b/>
          <w:bCs/>
          <w:noProof/>
          <w:sz w:val="20"/>
          <w:szCs w:val="20"/>
        </w:rPr>
      </w:pPr>
      <w:r w:rsidRPr="00170F31">
        <w:rPr>
          <w:rFonts w:ascii="Trebuchet MS" w:hAnsi="Trebuchet MS"/>
          <w:b/>
          <w:bCs/>
          <w:noProof/>
          <w:sz w:val="20"/>
          <w:szCs w:val="20"/>
        </w:rPr>
        <w:t>(1)</w:t>
      </w:r>
      <w:r w:rsidRPr="00170F31">
        <w:rPr>
          <w:rFonts w:ascii="Trebuchet MS" w:hAnsi="Trebuchet MS"/>
          <w:b/>
          <w:bCs/>
          <w:noProof/>
          <w:sz w:val="20"/>
          <w:szCs w:val="20"/>
        </w:rPr>
        <w:tab/>
        <w:t>P.M.U. – componenta de nivel strategic-corespunzătoarea etapei I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1.</w:t>
      </w:r>
      <w:r w:rsidRPr="00FD3D00">
        <w:rPr>
          <w:rFonts w:ascii="Trebuchet MS" w:hAnsi="Trebuchet MS"/>
          <w:bCs/>
          <w:i/>
          <w:noProof/>
          <w:sz w:val="20"/>
          <w:szCs w:val="20"/>
        </w:rPr>
        <w:tab/>
        <w:t>Introducere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1.1.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Scopul şi rolul documentaţiei;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1.2.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 xml:space="preserve">Încadrarea în prevederile documentelor de planificare spaţială; 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1.3.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Încadrarea în prevederile documentelor strategice sectoriale;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1.4.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 xml:space="preserve">Preluarea prevederilor privind dezvoltarea economică, socială şi de cadru natural din documentele de planificare ale UAT-urilor. 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2.</w:t>
      </w:r>
      <w:r w:rsidRPr="00FD3D00">
        <w:rPr>
          <w:rFonts w:ascii="Trebuchet MS" w:hAnsi="Trebuchet MS"/>
          <w:bCs/>
          <w:i/>
          <w:noProof/>
          <w:sz w:val="20"/>
          <w:szCs w:val="20"/>
        </w:rPr>
        <w:tab/>
        <w:t xml:space="preserve">Analiza situaţiei existente 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2.1.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 xml:space="preserve">Contextul socio-economic cu identificarea densităţilor de populaţie şi a activităţilor economice; 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2.2.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Reţeaua stradală;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2.3.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Transport public;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2.4.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 xml:space="preserve">Transport de marfă; 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2.5.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Mijloace alternative de mobilitate (deplasări cu bicicleta, mersul pe jos şi deplasarea persoanelor cu mobilitate redusă);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2.6.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Managementul traficului (staţionarea, siguranţa în trafic, sisteme inteligente de transport, signalistică, structuri de management existente la nivelul autorităţii planificatoare);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2.7.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Identificarea zonelor cu nivel ridicat de complexitate (zone centrale protejate, zone logistice, poli ocazionali de atracţie/generare de trafic, zone intermodale-gări, aerogări, etc).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3.</w:t>
      </w:r>
      <w:r w:rsidRPr="00FD3D00">
        <w:rPr>
          <w:rFonts w:ascii="Trebuchet MS" w:hAnsi="Trebuchet MS"/>
          <w:bCs/>
          <w:i/>
          <w:noProof/>
          <w:sz w:val="20"/>
          <w:szCs w:val="20"/>
        </w:rPr>
        <w:tab/>
        <w:t xml:space="preserve">Modelul de transport (obligatoriu pentru localităţile de rang 0 şi 1) 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3.1.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Prezentare generală şi definirea domeniului;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3.2.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Colectarea de date;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3.3.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Dezvoltarea reţelei de transport;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3.4.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Cererea de transport;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3.5.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Calibrarea şi validarea datelor;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3.6.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Prognoze;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3.7.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Testarea modelului de transport în cadrul unui studiu de caz.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4.</w:t>
      </w:r>
      <w:r w:rsidRPr="00FD3D00">
        <w:rPr>
          <w:rFonts w:ascii="Trebuchet MS" w:hAnsi="Trebuchet MS"/>
          <w:bCs/>
          <w:i/>
          <w:noProof/>
          <w:sz w:val="20"/>
          <w:szCs w:val="20"/>
        </w:rPr>
        <w:tab/>
        <w:t>Evaluarea impactului actual al mobilităţii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lastRenderedPageBreak/>
        <w:t>4.1.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Eficienţă economică;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4.2.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Impactul asupra mediului;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4.3.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Accesibilitate;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4.4.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Siguranţă;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4.5.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Calitatea vieţii.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5.</w:t>
      </w:r>
      <w:r w:rsidRPr="00FD3D00">
        <w:rPr>
          <w:rFonts w:ascii="Trebuchet MS" w:hAnsi="Trebuchet MS"/>
          <w:bCs/>
          <w:i/>
          <w:noProof/>
          <w:sz w:val="20"/>
          <w:szCs w:val="20"/>
        </w:rPr>
        <w:tab/>
        <w:t>Viziunea de dezvoltare a mobilităţii urbane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5.1.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Viziunea prezentată pentru trei scenarii alternative;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5.2.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Cadrul/metodologia de selectare a proiectelor.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6.</w:t>
      </w:r>
      <w:r w:rsidRPr="00FD3D00">
        <w:rPr>
          <w:rFonts w:ascii="Trebuchet MS" w:hAnsi="Trebuchet MS"/>
          <w:bCs/>
          <w:i/>
          <w:noProof/>
          <w:sz w:val="20"/>
          <w:szCs w:val="20"/>
        </w:rPr>
        <w:tab/>
        <w:t>Direcţii de acţiune şi proiecte de dezvoltare a mobilităţii urbane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6.1.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Direcţii de acţiune şi proiecte pentru infrastructura de transport;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6.2.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Direcţii de acţiune şi proiecte operaţionale;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6.3.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Direcţii de acţiune şi proiecte organizaţionale;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6.4.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Direcţii de acţiune şi proiecte partajate pe nivele teritoriale: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6.4.1.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la scară periurbană/metropolitană;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6.4.2.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la scara localităţilor de referinţă;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6.4.3.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la nivelul cartierelor/zonelor cu nivel ridicat de complexitate.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7.</w:t>
      </w:r>
      <w:r w:rsidRPr="00FD3D00">
        <w:rPr>
          <w:rFonts w:ascii="Trebuchet MS" w:hAnsi="Trebuchet MS"/>
          <w:bCs/>
          <w:i/>
          <w:noProof/>
          <w:sz w:val="20"/>
          <w:szCs w:val="20"/>
        </w:rPr>
        <w:tab/>
        <w:t>Evaluarea impactului mobilităţii în cazul celor 3 scenarii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7.1.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Eficienţă economică;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7.2.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Impactul asupra mediului;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7.3.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Accesibilitate;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7.4.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Siguranţă;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7.5.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Calitatea vieţii.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</w:p>
    <w:p w:rsidR="00170F31" w:rsidRPr="00170F31" w:rsidRDefault="00170F31" w:rsidP="00170F31">
      <w:pPr>
        <w:jc w:val="both"/>
        <w:rPr>
          <w:rFonts w:ascii="Trebuchet MS" w:hAnsi="Trebuchet MS"/>
          <w:b/>
          <w:bCs/>
          <w:noProof/>
          <w:sz w:val="20"/>
          <w:szCs w:val="20"/>
        </w:rPr>
      </w:pPr>
      <w:r w:rsidRPr="00170F31">
        <w:rPr>
          <w:rFonts w:ascii="Trebuchet MS" w:hAnsi="Trebuchet MS"/>
          <w:b/>
          <w:bCs/>
          <w:noProof/>
          <w:sz w:val="20"/>
          <w:szCs w:val="20"/>
        </w:rPr>
        <w:t xml:space="preserve">(2) P.M.U. – componenta de nivel operaţional – corespunzătoare etapei II 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1. Cadrul pentru prioritizarea proiectelor pe termen scurt, mediu şi lung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1.1. Cadrul de prioritizare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1.2. Priorităţile stabilite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2. Planul de acţiune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2.1.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Intervenţii majore asupra rețelei stradale;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2.2.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Transport public;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lastRenderedPageBreak/>
        <w:t>2.3.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Transport de marfă;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2.4.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Mijloace alternative de mobilitate (deplasări cu bicicleta, mersul pe jos şi persoane cu mobilitate redusă);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2.5.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Managementul traficului (staţionarea, siguranţa în trafic, sisteme inteligente de transport, signalistică, protecţia împotriva zgomotului/sonoră);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2.6.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Zonele cu nivel ridicat de complexitate (zone centrale protejate, zone logistice, poli ocazionali de atracţie/generare de trafic, zone intermodale-gări, aerogări, etc);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2.7.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Structura intermodală şi operaţiuni urbanistice necesare;</w:t>
      </w:r>
    </w:p>
    <w:p w:rsidR="00170F31" w:rsidRPr="00170F31" w:rsidRDefault="00170F31" w:rsidP="00170F31">
      <w:pPr>
        <w:jc w:val="both"/>
        <w:rPr>
          <w:rFonts w:ascii="Trebuchet MS" w:hAnsi="Trebuchet MS"/>
          <w:bCs/>
          <w:noProof/>
          <w:sz w:val="20"/>
          <w:szCs w:val="20"/>
        </w:rPr>
      </w:pPr>
      <w:r w:rsidRPr="00170F31">
        <w:rPr>
          <w:rFonts w:ascii="Trebuchet MS" w:hAnsi="Trebuchet MS"/>
          <w:bCs/>
          <w:noProof/>
          <w:sz w:val="20"/>
          <w:szCs w:val="20"/>
        </w:rPr>
        <w:t>2.8.</w:t>
      </w:r>
      <w:r w:rsidRPr="00170F31">
        <w:rPr>
          <w:rFonts w:ascii="Trebuchet MS" w:hAnsi="Trebuchet MS"/>
          <w:bCs/>
          <w:noProof/>
          <w:sz w:val="20"/>
          <w:szCs w:val="20"/>
        </w:rPr>
        <w:tab/>
        <w:t>Aspecte instituţionale.</w:t>
      </w:r>
    </w:p>
    <w:p w:rsidR="00170F31" w:rsidRPr="00170F31" w:rsidRDefault="00170F31" w:rsidP="00170F31">
      <w:pPr>
        <w:jc w:val="both"/>
        <w:rPr>
          <w:rFonts w:ascii="Trebuchet MS" w:hAnsi="Trebuchet MS"/>
          <w:b/>
          <w:bCs/>
          <w:noProof/>
          <w:sz w:val="20"/>
          <w:szCs w:val="20"/>
        </w:rPr>
      </w:pPr>
      <w:r w:rsidRPr="00170F31">
        <w:rPr>
          <w:rFonts w:ascii="Trebuchet MS" w:hAnsi="Trebuchet MS"/>
          <w:b/>
          <w:bCs/>
          <w:noProof/>
          <w:sz w:val="20"/>
          <w:szCs w:val="20"/>
        </w:rPr>
        <w:t>(3). Monitorizarea implem</w:t>
      </w:r>
      <w:bookmarkStart w:id="0" w:name="_GoBack"/>
      <w:bookmarkEnd w:id="0"/>
      <w:r w:rsidRPr="00170F31">
        <w:rPr>
          <w:rFonts w:ascii="Trebuchet MS" w:hAnsi="Trebuchet MS"/>
          <w:b/>
          <w:bCs/>
          <w:noProof/>
          <w:sz w:val="20"/>
          <w:szCs w:val="20"/>
        </w:rPr>
        <w:t>entării Planului de Mobilitate Urbană – corespunzătoare etapei III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1. Stabilire proceduri de evaluare a implementării P.M.U.</w:t>
      </w:r>
    </w:p>
    <w:p w:rsidR="00170F31" w:rsidRPr="00FD3D00" w:rsidRDefault="00170F31" w:rsidP="00170F31">
      <w:pPr>
        <w:jc w:val="both"/>
        <w:rPr>
          <w:rFonts w:ascii="Trebuchet MS" w:hAnsi="Trebuchet MS"/>
          <w:bCs/>
          <w:i/>
          <w:noProof/>
          <w:sz w:val="20"/>
          <w:szCs w:val="20"/>
        </w:rPr>
      </w:pPr>
      <w:r w:rsidRPr="00FD3D00">
        <w:rPr>
          <w:rFonts w:ascii="Trebuchet MS" w:hAnsi="Trebuchet MS"/>
          <w:bCs/>
          <w:i/>
          <w:noProof/>
          <w:sz w:val="20"/>
          <w:szCs w:val="20"/>
        </w:rPr>
        <w:t>2. Stabilire actori responsabili cu monitorizarea</w:t>
      </w:r>
    </w:p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9276C6" w:rsidRDefault="009276C6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E41DB" w:rsidRDefault="004E41D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42377B" w:rsidRPr="00A8750E" w:rsidRDefault="0042377B" w:rsidP="009A0945">
      <w:pPr>
        <w:spacing w:before="120" w:after="0" w:line="240" w:lineRule="auto"/>
        <w:jc w:val="both"/>
        <w:rPr>
          <w:rFonts w:ascii="Trebuchet MS" w:eastAsia="Times New Roman" w:hAnsi="Trebuchet MS" w:cs="Times New Roman"/>
          <w:b/>
          <w:bCs/>
          <w:caps/>
          <w:sz w:val="20"/>
          <w:szCs w:val="20"/>
        </w:rPr>
      </w:pPr>
    </w:p>
    <w:p w:rsidR="00A8750E" w:rsidRPr="00AB5197" w:rsidRDefault="00A8750E" w:rsidP="009A0945">
      <w:pPr>
        <w:tabs>
          <w:tab w:val="left" w:pos="3481"/>
        </w:tabs>
        <w:jc w:val="both"/>
        <w:rPr>
          <w:rFonts w:ascii="Trebuchet MS" w:hAnsi="Trebuchet MS"/>
          <w:sz w:val="20"/>
          <w:szCs w:val="20"/>
        </w:rPr>
      </w:pPr>
    </w:p>
    <w:sectPr w:rsidR="00A8750E" w:rsidRPr="00AB5197" w:rsidSect="0033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BA" w:rsidRDefault="005C4FBA" w:rsidP="003A70FA">
      <w:pPr>
        <w:spacing w:after="0" w:line="240" w:lineRule="auto"/>
      </w:pPr>
      <w:r>
        <w:separator/>
      </w:r>
    </w:p>
  </w:endnote>
  <w:endnote w:type="continuationSeparator" w:id="0">
    <w:p w:rsidR="005C4FBA" w:rsidRDefault="005C4FBA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D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BA" w:rsidRDefault="005C4FBA" w:rsidP="003A70FA">
      <w:pPr>
        <w:spacing w:after="0" w:line="240" w:lineRule="auto"/>
      </w:pPr>
      <w:r>
        <w:separator/>
      </w:r>
    </w:p>
  </w:footnote>
  <w:footnote w:type="continuationSeparator" w:id="0">
    <w:p w:rsidR="005C4FBA" w:rsidRDefault="005C4FBA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28548B" w:rsidRPr="003A70FA" w:rsidTr="0028548B">
      <w:tc>
        <w:tcPr>
          <w:tcW w:w="7560" w:type="dxa"/>
        </w:tcPr>
        <w:p w:rsidR="0028548B" w:rsidRPr="003A70FA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begin"/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instrText xml:space="preserve"> SAVEDATE \@ "MMMM yyyy" \* MERGEFORMAT </w:instrTex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separate"/>
          </w:r>
          <w:r w:rsidR="00526623">
            <w:rPr>
              <w:rFonts w:ascii="Trebuchet MS" w:eastAsia="Times New Roman" w:hAnsi="Trebuchet MS" w:cs="Times New Roman"/>
              <w:noProof/>
              <w:color w:val="808080"/>
              <w:sz w:val="14"/>
              <w:szCs w:val="24"/>
            </w:rPr>
            <w:t>decembrie 2015</w: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end"/>
          </w:r>
        </w:p>
      </w:tc>
    </w:tr>
    <w:tr w:rsidR="0028548B" w:rsidRPr="003A70FA" w:rsidTr="0028548B">
      <w:trPr>
        <w:cantSplit/>
      </w:trPr>
      <w:tc>
        <w:tcPr>
          <w:tcW w:w="8820" w:type="dxa"/>
          <w:gridSpan w:val="2"/>
        </w:tcPr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Ghidul Solicitantului</w:t>
          </w:r>
        </w:p>
      </w:tc>
    </w:tr>
  </w:tbl>
  <w:p w:rsidR="0028548B" w:rsidRPr="003A70FA" w:rsidRDefault="0028548B" w:rsidP="003A70FA">
    <w:pPr>
      <w:spacing w:after="0" w:line="240" w:lineRule="auto"/>
      <w:jc w:val="right"/>
      <w:rPr>
        <w:rFonts w:ascii="Trebuchet MS" w:eastAsia="Times New Roman" w:hAnsi="Trebuchet MS" w:cs="Times New Roman"/>
        <w:sz w:val="16"/>
        <w:szCs w:val="24"/>
      </w:rPr>
    </w:pPr>
    <w:r w:rsidRPr="003A70FA">
      <w:rPr>
        <w:rFonts w:ascii="Trebuchet MS" w:eastAsia="Times New Roman" w:hAnsi="Trebuchet MS" w:cs="Times New Roman"/>
        <w:b/>
        <w:bCs/>
        <w:color w:val="808080"/>
        <w:sz w:val="14"/>
        <w:szCs w:val="24"/>
      </w:rPr>
      <w:t>Condiții generale de implementare a dezvoltării urbane durabile – Axa prioritară 4</w:t>
    </w:r>
  </w:p>
  <w:p w:rsidR="0028548B" w:rsidRDefault="0028548B" w:rsidP="00C16E3D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150"/>
    <w:multiLevelType w:val="hybridMultilevel"/>
    <w:tmpl w:val="1F7AE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49C4"/>
    <w:multiLevelType w:val="hybridMultilevel"/>
    <w:tmpl w:val="47EC7CA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270D51B1"/>
    <w:multiLevelType w:val="hybridMultilevel"/>
    <w:tmpl w:val="845652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0301"/>
    <w:multiLevelType w:val="hybridMultilevel"/>
    <w:tmpl w:val="E4E016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26FEB"/>
    <w:multiLevelType w:val="hybridMultilevel"/>
    <w:tmpl w:val="EBACBC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B79AC"/>
    <w:multiLevelType w:val="hybridMultilevel"/>
    <w:tmpl w:val="0B54DF44"/>
    <w:lvl w:ilvl="0" w:tplc="0418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412368F"/>
    <w:multiLevelType w:val="hybridMultilevel"/>
    <w:tmpl w:val="0E4AA8FE"/>
    <w:lvl w:ilvl="0" w:tplc="B636DC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D">
      <w:start w:val="1"/>
      <w:numFmt w:val="bullet"/>
      <w:lvlText w:val=""/>
      <w:lvlJc w:val="left"/>
      <w:pPr>
        <w:ind w:left="4292" w:hanging="180"/>
      </w:pPr>
      <w:rPr>
        <w:rFonts w:ascii="Wingdings" w:hAnsi="Wingdings" w:hint="default"/>
      </w:r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03EF0"/>
    <w:multiLevelType w:val="hybridMultilevel"/>
    <w:tmpl w:val="5B6CBE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F0F54"/>
    <w:multiLevelType w:val="hybridMultilevel"/>
    <w:tmpl w:val="C194063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46A13"/>
    <w:multiLevelType w:val="hybridMultilevel"/>
    <w:tmpl w:val="301E48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233E0"/>
    <w:multiLevelType w:val="hybridMultilevel"/>
    <w:tmpl w:val="EFAE860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817E1"/>
    <w:multiLevelType w:val="hybridMultilevel"/>
    <w:tmpl w:val="8D14B5E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15E16"/>
    <w:rsid w:val="00033BC6"/>
    <w:rsid w:val="0004509B"/>
    <w:rsid w:val="00087947"/>
    <w:rsid w:val="000A42FE"/>
    <w:rsid w:val="000C51F2"/>
    <w:rsid w:val="00112BCE"/>
    <w:rsid w:val="00170F31"/>
    <w:rsid w:val="00192201"/>
    <w:rsid w:val="001B6117"/>
    <w:rsid w:val="001C009E"/>
    <w:rsid w:val="001F3244"/>
    <w:rsid w:val="002320E9"/>
    <w:rsid w:val="002422A8"/>
    <w:rsid w:val="00283DE2"/>
    <w:rsid w:val="002844FB"/>
    <w:rsid w:val="00285421"/>
    <w:rsid w:val="0028548B"/>
    <w:rsid w:val="002E4434"/>
    <w:rsid w:val="002E6D15"/>
    <w:rsid w:val="00336807"/>
    <w:rsid w:val="003401D2"/>
    <w:rsid w:val="00395305"/>
    <w:rsid w:val="003A70FA"/>
    <w:rsid w:val="003B1A70"/>
    <w:rsid w:val="003D1B3C"/>
    <w:rsid w:val="003E032E"/>
    <w:rsid w:val="003E6030"/>
    <w:rsid w:val="00407A5B"/>
    <w:rsid w:val="00410106"/>
    <w:rsid w:val="0042377B"/>
    <w:rsid w:val="00441EDA"/>
    <w:rsid w:val="004575AA"/>
    <w:rsid w:val="00461CC7"/>
    <w:rsid w:val="0046545A"/>
    <w:rsid w:val="004815DB"/>
    <w:rsid w:val="00482294"/>
    <w:rsid w:val="00492068"/>
    <w:rsid w:val="004C6217"/>
    <w:rsid w:val="004E41DB"/>
    <w:rsid w:val="00507351"/>
    <w:rsid w:val="00526623"/>
    <w:rsid w:val="00531A34"/>
    <w:rsid w:val="00547DD9"/>
    <w:rsid w:val="00571442"/>
    <w:rsid w:val="005C4FBA"/>
    <w:rsid w:val="005D48D7"/>
    <w:rsid w:val="005D5DAD"/>
    <w:rsid w:val="005E6D5A"/>
    <w:rsid w:val="00601F9C"/>
    <w:rsid w:val="0068560C"/>
    <w:rsid w:val="006C40D7"/>
    <w:rsid w:val="006C6058"/>
    <w:rsid w:val="006F5F91"/>
    <w:rsid w:val="00706EE6"/>
    <w:rsid w:val="00712B3F"/>
    <w:rsid w:val="007554A7"/>
    <w:rsid w:val="00794908"/>
    <w:rsid w:val="00806312"/>
    <w:rsid w:val="0082199B"/>
    <w:rsid w:val="00825E47"/>
    <w:rsid w:val="008F105F"/>
    <w:rsid w:val="00916E3E"/>
    <w:rsid w:val="009276C6"/>
    <w:rsid w:val="00935E66"/>
    <w:rsid w:val="00976D8C"/>
    <w:rsid w:val="009926E7"/>
    <w:rsid w:val="009A0945"/>
    <w:rsid w:val="009C083A"/>
    <w:rsid w:val="009D385D"/>
    <w:rsid w:val="00A67571"/>
    <w:rsid w:val="00A730CA"/>
    <w:rsid w:val="00A83646"/>
    <w:rsid w:val="00A83CE8"/>
    <w:rsid w:val="00A8750E"/>
    <w:rsid w:val="00AB5197"/>
    <w:rsid w:val="00B001BB"/>
    <w:rsid w:val="00B074C4"/>
    <w:rsid w:val="00B07E08"/>
    <w:rsid w:val="00B3280A"/>
    <w:rsid w:val="00B522E7"/>
    <w:rsid w:val="00B64CBE"/>
    <w:rsid w:val="00B7306B"/>
    <w:rsid w:val="00B93D09"/>
    <w:rsid w:val="00BC05C8"/>
    <w:rsid w:val="00BD2EB0"/>
    <w:rsid w:val="00BF3843"/>
    <w:rsid w:val="00C04C23"/>
    <w:rsid w:val="00C10CCF"/>
    <w:rsid w:val="00C10EB4"/>
    <w:rsid w:val="00C16E3D"/>
    <w:rsid w:val="00C3275F"/>
    <w:rsid w:val="00C8126A"/>
    <w:rsid w:val="00CB4BB4"/>
    <w:rsid w:val="00CD60FC"/>
    <w:rsid w:val="00CF5916"/>
    <w:rsid w:val="00D01441"/>
    <w:rsid w:val="00D14C90"/>
    <w:rsid w:val="00D82018"/>
    <w:rsid w:val="00DA430D"/>
    <w:rsid w:val="00DB4E3C"/>
    <w:rsid w:val="00DF47D8"/>
    <w:rsid w:val="00DF7DA0"/>
    <w:rsid w:val="00E074E9"/>
    <w:rsid w:val="00E448C9"/>
    <w:rsid w:val="00E47D4C"/>
    <w:rsid w:val="00E85639"/>
    <w:rsid w:val="00E915D7"/>
    <w:rsid w:val="00EB4E28"/>
    <w:rsid w:val="00EC0DCD"/>
    <w:rsid w:val="00ED6E66"/>
    <w:rsid w:val="00EE50E1"/>
    <w:rsid w:val="00EF22E0"/>
    <w:rsid w:val="00EF7BFA"/>
    <w:rsid w:val="00F0650D"/>
    <w:rsid w:val="00F14E72"/>
    <w:rsid w:val="00F15028"/>
    <w:rsid w:val="00F2594F"/>
    <w:rsid w:val="00F25C6D"/>
    <w:rsid w:val="00F3660A"/>
    <w:rsid w:val="00F66F8A"/>
    <w:rsid w:val="00F92CFA"/>
    <w:rsid w:val="00F96D3B"/>
    <w:rsid w:val="00FA4D62"/>
    <w:rsid w:val="00FA7F32"/>
    <w:rsid w:val="00FD3D00"/>
    <w:rsid w:val="00FE1923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50E"/>
    <w:rPr>
      <w:sz w:val="20"/>
      <w:szCs w:val="20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Footnotes ref"/>
    <w:link w:val="BVIfnrChar1Char"/>
    <w:unhideWhenUsed/>
    <w:qFormat/>
    <w:rsid w:val="00A8750E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015E16"/>
    <w:pPr>
      <w:spacing w:after="160" w:line="240" w:lineRule="exact"/>
    </w:pPr>
    <w:rPr>
      <w:vertAlign w:val="superscript"/>
    </w:rPr>
  </w:style>
  <w:style w:type="paragraph" w:customStyle="1" w:styleId="root2">
    <w:name w:val="root2"/>
    <w:basedOn w:val="Normal"/>
    <w:rsid w:val="000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5197"/>
    <w:pPr>
      <w:ind w:left="720"/>
      <w:contextualSpacing/>
    </w:p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locked/>
    <w:rsid w:val="004E41DB"/>
    <w:rPr>
      <w:rFonts w:ascii="Arial" w:eastAsia="Times New Roman" w:hAnsi="Arial" w:cs="Arial"/>
      <w:iCs/>
      <w:szCs w:val="24"/>
    </w:rPr>
  </w:style>
  <w:style w:type="paragraph" w:styleId="BodyText">
    <w:name w:val="Body Text"/>
    <w:aliases w:val="block style,Body,Standard paragraph,b"/>
    <w:basedOn w:val="Normal"/>
    <w:link w:val="BodyTextChar"/>
    <w:unhideWhenUsed/>
    <w:rsid w:val="004E41DB"/>
    <w:pPr>
      <w:spacing w:after="60" w:line="240" w:lineRule="auto"/>
    </w:pPr>
    <w:rPr>
      <w:rFonts w:ascii="Arial" w:eastAsia="Times New Roman" w:hAnsi="Arial" w:cs="Arial"/>
      <w:iCs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E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A7A5-3602-44A0-85C3-1E86BB14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5</cp:revision>
  <dcterms:created xsi:type="dcterms:W3CDTF">2015-12-11T16:55:00Z</dcterms:created>
  <dcterms:modified xsi:type="dcterms:W3CDTF">2015-12-11T16:56:00Z</dcterms:modified>
</cp:coreProperties>
</file>